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54FD7BAD" w:rsidR="00294D64" w:rsidRPr="00402747" w:rsidRDefault="00280283" w:rsidP="00402747">
            <w:pPr>
              <w:rPr>
                <w:rFonts w:cstheme="minorHAnsi"/>
                <w:b/>
                <w:color w:val="FFFFFF" w:themeColor="background1"/>
                <w:sz w:val="40"/>
                <w:szCs w:val="40"/>
              </w:rPr>
            </w:pPr>
            <w:r>
              <w:rPr>
                <w:rFonts w:cstheme="minorHAnsi"/>
                <w:b/>
                <w:color w:val="FFFFFF" w:themeColor="background1"/>
                <w:sz w:val="40"/>
                <w:szCs w:val="40"/>
              </w:rPr>
              <w:t>Design Technology</w:t>
            </w:r>
          </w:p>
          <w:p w14:paraId="33C5764F" w14:textId="77777777" w:rsidR="00294D64" w:rsidRPr="00657ECD" w:rsidRDefault="00294D64">
            <w:pPr>
              <w:rPr>
                <w:rFonts w:cstheme="minorHAnsi"/>
              </w:rPr>
            </w:pPr>
          </w:p>
        </w:tc>
        <w:tc>
          <w:tcPr>
            <w:tcW w:w="13466" w:type="dxa"/>
            <w:gridSpan w:val="2"/>
            <w:shd w:val="clear" w:color="auto" w:fill="FFC000"/>
          </w:tcPr>
          <w:p w14:paraId="39587510" w14:textId="68C5504B" w:rsidR="00294D64" w:rsidRPr="00B96464" w:rsidRDefault="00294D64" w:rsidP="00294D64">
            <w:pPr>
              <w:jc w:val="center"/>
              <w:rPr>
                <w:rFonts w:cstheme="minorHAnsi"/>
                <w:b/>
                <w:sz w:val="52"/>
                <w:szCs w:val="52"/>
              </w:rPr>
            </w:pPr>
            <w:r w:rsidRPr="00657ECD">
              <w:rPr>
                <w:rFonts w:cstheme="minorHAnsi"/>
                <w:b/>
              </w:rPr>
              <w:t xml:space="preserve"> </w:t>
            </w:r>
            <w:r w:rsidR="00280283">
              <w:rPr>
                <w:rFonts w:cstheme="minorHAnsi"/>
                <w:b/>
                <w:sz w:val="52"/>
                <w:szCs w:val="52"/>
              </w:rPr>
              <w:t>Design Technology Asses</w:t>
            </w:r>
            <w:r w:rsidR="00280283" w:rsidRPr="00B96464">
              <w:rPr>
                <w:rFonts w:cstheme="minorHAnsi"/>
                <w:b/>
                <w:sz w:val="52"/>
                <w:szCs w:val="52"/>
              </w:rPr>
              <w:t>sment</w:t>
            </w:r>
            <w:r w:rsidR="00B96464" w:rsidRPr="00B96464">
              <w:rPr>
                <w:rFonts w:cstheme="minorHAnsi"/>
                <w:b/>
                <w:sz w:val="52"/>
                <w:szCs w:val="52"/>
              </w:rPr>
              <w:t xml:space="preserve">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720377B1"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280283">
              <w:rPr>
                <w:rFonts w:cstheme="minorHAnsi"/>
                <w:sz w:val="18"/>
                <w:szCs w:val="18"/>
              </w:rPr>
              <w:t>Design Technology</w:t>
            </w:r>
            <w:r w:rsidRPr="006D0B0F">
              <w:rPr>
                <w:rFonts w:cstheme="minorHAnsi"/>
                <w:sz w:val="18"/>
                <w:szCs w:val="18"/>
              </w:rPr>
              <w:t xml:space="preserve"> include:</w:t>
            </w:r>
          </w:p>
          <w:p w14:paraId="1274C184" w14:textId="77777777" w:rsidR="00301096" w:rsidRPr="006D0B0F" w:rsidRDefault="00301096" w:rsidP="00721D8F">
            <w:pPr>
              <w:rPr>
                <w:rFonts w:cstheme="minorHAnsi"/>
                <w:sz w:val="18"/>
                <w:szCs w:val="18"/>
              </w:rPr>
            </w:pPr>
          </w:p>
          <w:p w14:paraId="4AD18BAE" w14:textId="77777777" w:rsidR="00271829" w:rsidRPr="009013AE" w:rsidRDefault="005D5035" w:rsidP="00271829">
            <w:pPr>
              <w:pStyle w:val="ListParagraph"/>
              <w:numPr>
                <w:ilvl w:val="0"/>
                <w:numId w:val="5"/>
              </w:numPr>
              <w:rPr>
                <w:rFonts w:cstheme="minorHAnsi"/>
                <w:sz w:val="18"/>
                <w:szCs w:val="18"/>
              </w:rPr>
            </w:pPr>
            <w:r w:rsidRPr="009013AE">
              <w:rPr>
                <w:rFonts w:cstheme="minorHAnsi"/>
                <w:sz w:val="18"/>
                <w:szCs w:val="18"/>
              </w:rPr>
              <w:lastRenderedPageBreak/>
              <w:t>Designing strategies</w:t>
            </w:r>
          </w:p>
          <w:p w14:paraId="7B396810" w14:textId="7CC9CF06" w:rsidR="005D5035" w:rsidRPr="009013AE" w:rsidRDefault="00271829" w:rsidP="00271829">
            <w:pPr>
              <w:pStyle w:val="ListParagraph"/>
              <w:numPr>
                <w:ilvl w:val="0"/>
                <w:numId w:val="5"/>
              </w:numPr>
              <w:rPr>
                <w:rFonts w:cstheme="minorHAnsi"/>
                <w:sz w:val="18"/>
                <w:szCs w:val="18"/>
              </w:rPr>
            </w:pPr>
            <w:r w:rsidRPr="009013AE">
              <w:rPr>
                <w:rFonts w:cstheme="minorHAnsi"/>
                <w:sz w:val="18"/>
                <w:szCs w:val="18"/>
              </w:rPr>
              <w:t>P</w:t>
            </w:r>
            <w:r w:rsidR="00B73705" w:rsidRPr="009013AE">
              <w:rPr>
                <w:rFonts w:cstheme="minorHAnsi"/>
                <w:sz w:val="18"/>
                <w:szCs w:val="18"/>
              </w:rPr>
              <w:t>olymer and timber</w:t>
            </w:r>
            <w:r w:rsidRPr="009013AE">
              <w:rPr>
                <w:rFonts w:cstheme="minorHAnsi"/>
                <w:sz w:val="18"/>
                <w:szCs w:val="18"/>
              </w:rPr>
              <w:t xml:space="preserve"> making</w:t>
            </w:r>
            <w:r w:rsidR="00B73705" w:rsidRPr="009013AE">
              <w:rPr>
                <w:rFonts w:cstheme="minorHAnsi"/>
                <w:sz w:val="18"/>
                <w:szCs w:val="18"/>
              </w:rPr>
              <w:t xml:space="preserve"> processes</w:t>
            </w:r>
            <w:r w:rsidRPr="009013AE">
              <w:rPr>
                <w:rFonts w:cstheme="minorHAnsi"/>
                <w:sz w:val="18"/>
                <w:szCs w:val="18"/>
              </w:rPr>
              <w:t xml:space="preserve"> (including CAD/CAM skills)</w:t>
            </w:r>
          </w:p>
          <w:p w14:paraId="6653F7DD" w14:textId="20D9982E" w:rsidR="001F58A4" w:rsidRPr="009013AE" w:rsidRDefault="0069406A" w:rsidP="007C431C">
            <w:pPr>
              <w:pStyle w:val="ListParagraph"/>
              <w:numPr>
                <w:ilvl w:val="0"/>
                <w:numId w:val="5"/>
              </w:numPr>
              <w:rPr>
                <w:rFonts w:cstheme="minorHAnsi"/>
                <w:sz w:val="18"/>
                <w:szCs w:val="18"/>
              </w:rPr>
            </w:pPr>
            <w:r w:rsidRPr="009013AE">
              <w:rPr>
                <w:rFonts w:cstheme="minorHAnsi"/>
                <w:sz w:val="18"/>
                <w:szCs w:val="18"/>
              </w:rPr>
              <w:t>Task Analysis</w:t>
            </w:r>
          </w:p>
          <w:p w14:paraId="2F57EE39" w14:textId="77777777" w:rsidR="00EC0760" w:rsidRPr="009013AE" w:rsidRDefault="00EC0760" w:rsidP="007C431C">
            <w:pPr>
              <w:pStyle w:val="ListParagraph"/>
              <w:numPr>
                <w:ilvl w:val="0"/>
                <w:numId w:val="5"/>
              </w:numPr>
              <w:rPr>
                <w:rFonts w:cstheme="minorHAnsi"/>
                <w:sz w:val="18"/>
                <w:szCs w:val="18"/>
              </w:rPr>
            </w:pPr>
            <w:r w:rsidRPr="009013AE">
              <w:rPr>
                <w:rFonts w:cstheme="minorHAnsi"/>
                <w:sz w:val="18"/>
                <w:szCs w:val="18"/>
              </w:rPr>
              <w:t>Drafting up specifications</w:t>
            </w:r>
          </w:p>
          <w:p w14:paraId="67DE3C2E" w14:textId="77777777" w:rsidR="004D5882" w:rsidRPr="009013AE" w:rsidRDefault="002D0AD0" w:rsidP="007C431C">
            <w:pPr>
              <w:pStyle w:val="ListParagraph"/>
              <w:numPr>
                <w:ilvl w:val="0"/>
                <w:numId w:val="5"/>
              </w:numPr>
              <w:rPr>
                <w:rFonts w:cstheme="minorHAnsi"/>
                <w:sz w:val="18"/>
                <w:szCs w:val="18"/>
              </w:rPr>
            </w:pPr>
            <w:r w:rsidRPr="009013AE">
              <w:rPr>
                <w:rFonts w:cstheme="minorHAnsi"/>
                <w:sz w:val="18"/>
                <w:szCs w:val="18"/>
              </w:rPr>
              <w:t>How to present and communicate ideas</w:t>
            </w:r>
          </w:p>
          <w:p w14:paraId="35BDBC11" w14:textId="651817A8" w:rsidR="002D0AD0" w:rsidRPr="009013AE" w:rsidRDefault="002D0AD0" w:rsidP="007C431C">
            <w:pPr>
              <w:pStyle w:val="ListParagraph"/>
              <w:numPr>
                <w:ilvl w:val="0"/>
                <w:numId w:val="5"/>
              </w:numPr>
              <w:rPr>
                <w:rFonts w:cstheme="minorHAnsi"/>
                <w:sz w:val="18"/>
                <w:szCs w:val="18"/>
              </w:rPr>
            </w:pPr>
            <w:r w:rsidRPr="009013AE">
              <w:rPr>
                <w:rFonts w:cstheme="minorHAnsi"/>
                <w:sz w:val="18"/>
                <w:szCs w:val="18"/>
              </w:rPr>
              <w:t>Working to</w:t>
            </w:r>
            <w:r w:rsidR="00856DDE" w:rsidRPr="009013AE">
              <w:rPr>
                <w:rFonts w:cstheme="minorHAnsi"/>
                <w:sz w:val="18"/>
                <w:szCs w:val="18"/>
              </w:rPr>
              <w:t xml:space="preserve"> clients/users needs and wants</w:t>
            </w:r>
          </w:p>
          <w:p w14:paraId="6850793F" w14:textId="435691AF" w:rsidR="00271829" w:rsidRPr="009013AE" w:rsidRDefault="00271829" w:rsidP="007C431C">
            <w:pPr>
              <w:pStyle w:val="ListParagraph"/>
              <w:numPr>
                <w:ilvl w:val="0"/>
                <w:numId w:val="5"/>
              </w:numPr>
              <w:rPr>
                <w:rFonts w:cstheme="minorHAnsi"/>
                <w:sz w:val="18"/>
                <w:szCs w:val="18"/>
              </w:rPr>
            </w:pPr>
            <w:r w:rsidRPr="009013AE">
              <w:rPr>
                <w:rFonts w:cstheme="minorHAnsi"/>
                <w:sz w:val="18"/>
                <w:szCs w:val="18"/>
              </w:rPr>
              <w:t>Product Analysis</w:t>
            </w:r>
          </w:p>
          <w:p w14:paraId="6B1FC595" w14:textId="00D05225" w:rsidR="00044243" w:rsidRPr="009013AE" w:rsidRDefault="00044243" w:rsidP="007C431C">
            <w:pPr>
              <w:pStyle w:val="ListParagraph"/>
              <w:numPr>
                <w:ilvl w:val="0"/>
                <w:numId w:val="5"/>
              </w:numPr>
              <w:rPr>
                <w:rFonts w:cstheme="minorHAnsi"/>
                <w:sz w:val="18"/>
                <w:szCs w:val="18"/>
              </w:rPr>
            </w:pPr>
            <w:r w:rsidRPr="009013AE">
              <w:rPr>
                <w:rFonts w:cstheme="minorHAnsi"/>
                <w:sz w:val="18"/>
                <w:szCs w:val="18"/>
              </w:rPr>
              <w:t>Developing Ideas through a range of design and modelling strategies</w:t>
            </w:r>
          </w:p>
          <w:p w14:paraId="04E78F02" w14:textId="77777777" w:rsidR="00856DDE" w:rsidRPr="009013AE" w:rsidRDefault="00856DDE" w:rsidP="007C431C">
            <w:pPr>
              <w:pStyle w:val="ListParagraph"/>
              <w:numPr>
                <w:ilvl w:val="0"/>
                <w:numId w:val="5"/>
              </w:numPr>
              <w:rPr>
                <w:rFonts w:cstheme="minorHAnsi"/>
                <w:sz w:val="18"/>
                <w:szCs w:val="18"/>
              </w:rPr>
            </w:pPr>
            <w:r w:rsidRPr="009013AE">
              <w:rPr>
                <w:rFonts w:cstheme="minorHAnsi"/>
                <w:sz w:val="18"/>
                <w:szCs w:val="18"/>
              </w:rPr>
              <w:t>Evaluatin</w:t>
            </w:r>
            <w:r w:rsidR="005D5035" w:rsidRPr="009013AE">
              <w:rPr>
                <w:rFonts w:cstheme="minorHAnsi"/>
                <w:sz w:val="18"/>
                <w:szCs w:val="18"/>
              </w:rPr>
              <w:t xml:space="preserve">g </w:t>
            </w:r>
            <w:r w:rsidR="00C063E8" w:rsidRPr="009013AE">
              <w:rPr>
                <w:rFonts w:cstheme="minorHAnsi"/>
                <w:sz w:val="18"/>
                <w:szCs w:val="18"/>
              </w:rPr>
              <w:t>and Testing strategies</w:t>
            </w:r>
          </w:p>
          <w:p w14:paraId="33C33AEE" w14:textId="02201D38" w:rsidR="00C063E8" w:rsidRPr="009013AE" w:rsidRDefault="00C063E8" w:rsidP="00C063E8">
            <w:pPr>
              <w:pStyle w:val="ListParagraph"/>
              <w:numPr>
                <w:ilvl w:val="0"/>
                <w:numId w:val="5"/>
              </w:numPr>
              <w:rPr>
                <w:rFonts w:cstheme="minorHAnsi"/>
                <w:sz w:val="18"/>
                <w:szCs w:val="18"/>
              </w:rPr>
            </w:pPr>
            <w:r w:rsidRPr="009013AE">
              <w:rPr>
                <w:rFonts w:cstheme="minorHAnsi"/>
                <w:sz w:val="18"/>
                <w:szCs w:val="18"/>
              </w:rPr>
              <w:t>Key theory end of unit SWIK tests</w:t>
            </w:r>
            <w:r w:rsidR="003D04D0" w:rsidRPr="009013AE">
              <w:rPr>
                <w:rFonts w:cstheme="minorHAnsi"/>
                <w:sz w:val="18"/>
                <w:szCs w:val="18"/>
              </w:rPr>
              <w:t xml:space="preserve"> (Core and Specialist Technical Principles)</w:t>
            </w:r>
          </w:p>
          <w:p w14:paraId="0E0CEEA3" w14:textId="3557D087" w:rsidR="00C063E8" w:rsidRPr="0013294F" w:rsidRDefault="00C063E8" w:rsidP="0013294F">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 xml:space="preserve">They are consistent with </w:t>
            </w:r>
            <w:r w:rsidR="00634D8F">
              <w:rPr>
                <w:rFonts w:cstheme="minorHAnsi"/>
                <w:sz w:val="18"/>
                <w:szCs w:val="18"/>
              </w:rPr>
              <w:lastRenderedPageBreak/>
              <w:t>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0D3943" w:rsidRPr="001829FF"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BA8C8EA"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280283">
              <w:rPr>
                <w:rFonts w:cstheme="minorHAnsi"/>
                <w:sz w:val="18"/>
                <w:szCs w:val="18"/>
              </w:rPr>
              <w:t xml:space="preserve">Design Technology </w:t>
            </w:r>
            <w:bookmarkStart w:id="0" w:name="_GoBack"/>
            <w:bookmarkEnd w:id="0"/>
            <w:r w:rsidRPr="00B120C8">
              <w:rPr>
                <w:rFonts w:cstheme="minorHAnsi"/>
                <w:sz w:val="18"/>
                <w:szCs w:val="18"/>
              </w:rPr>
              <w:t>include:</w:t>
            </w:r>
          </w:p>
          <w:p w14:paraId="5AB30AF5" w14:textId="77777777" w:rsidR="00301096" w:rsidRDefault="00301096" w:rsidP="00301096">
            <w:pPr>
              <w:rPr>
                <w:rFonts w:cstheme="minorHAnsi"/>
                <w:sz w:val="18"/>
                <w:szCs w:val="18"/>
              </w:rPr>
            </w:pPr>
          </w:p>
          <w:p w14:paraId="631C72B0" w14:textId="77777777" w:rsidR="00473121" w:rsidRPr="009013AE" w:rsidRDefault="00301096"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Non-Examined Assessment PLC criteria</w:t>
            </w:r>
            <w:r w:rsidR="009C48E8" w:rsidRPr="009013AE">
              <w:rPr>
                <w:rFonts w:cstheme="minorHAnsi"/>
                <w:sz w:val="18"/>
                <w:szCs w:val="18"/>
              </w:rPr>
              <w:t xml:space="preserve"> linked to exam board specific</w:t>
            </w:r>
            <w:r w:rsidR="0013294F" w:rsidRPr="009013AE">
              <w:rPr>
                <w:rFonts w:cstheme="minorHAnsi"/>
                <w:sz w:val="18"/>
                <w:szCs w:val="18"/>
              </w:rPr>
              <w:t>a</w:t>
            </w:r>
            <w:r w:rsidR="009C48E8" w:rsidRPr="009013AE">
              <w:rPr>
                <w:rFonts w:cstheme="minorHAnsi"/>
                <w:sz w:val="18"/>
                <w:szCs w:val="18"/>
              </w:rPr>
              <w:t>tion</w:t>
            </w:r>
          </w:p>
          <w:p w14:paraId="197460B9" w14:textId="62C01C4F" w:rsidR="0013294F" w:rsidRPr="009013AE" w:rsidRDefault="0013294F"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 xml:space="preserve">Use of </w:t>
            </w:r>
            <w:r w:rsidR="007C64F5">
              <w:rPr>
                <w:rFonts w:cstheme="minorHAnsi"/>
                <w:sz w:val="18"/>
                <w:szCs w:val="18"/>
              </w:rPr>
              <w:t xml:space="preserve">differentiated </w:t>
            </w:r>
            <w:r w:rsidRPr="009013AE">
              <w:rPr>
                <w:rFonts w:cstheme="minorHAnsi"/>
                <w:sz w:val="18"/>
                <w:szCs w:val="18"/>
              </w:rPr>
              <w:t>exemplar materials</w:t>
            </w:r>
          </w:p>
          <w:p w14:paraId="51D89134" w14:textId="71956A77" w:rsidR="00E055B4" w:rsidRPr="009013AE" w:rsidRDefault="00E055B4"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 xml:space="preserve">Students </w:t>
            </w:r>
            <w:r w:rsidR="00D76415" w:rsidRPr="009013AE">
              <w:rPr>
                <w:rFonts w:cstheme="minorHAnsi"/>
                <w:sz w:val="18"/>
                <w:szCs w:val="18"/>
              </w:rPr>
              <w:t xml:space="preserve">setting </w:t>
            </w:r>
            <w:r w:rsidR="00FB6A0F" w:rsidRPr="009013AE">
              <w:rPr>
                <w:rFonts w:cstheme="minorHAnsi"/>
                <w:sz w:val="18"/>
                <w:szCs w:val="18"/>
              </w:rPr>
              <w:t>personal objectives in NEA lessons</w:t>
            </w:r>
          </w:p>
          <w:p w14:paraId="66FDB6ED" w14:textId="77777777" w:rsidR="00FB6A0F" w:rsidRPr="009013AE" w:rsidRDefault="00A97DEA"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Peer-Self assessments</w:t>
            </w:r>
          </w:p>
          <w:p w14:paraId="1CEE8DF4" w14:textId="77777777" w:rsidR="00A97DEA" w:rsidRPr="009013AE" w:rsidRDefault="00A97DEA"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Verbal feedback (generic feedback when working on NEA tasks)</w:t>
            </w:r>
          </w:p>
          <w:p w14:paraId="5EBDBBC4" w14:textId="77777777" w:rsidR="00A97DEA" w:rsidRPr="009013AE" w:rsidRDefault="00BA4E5C"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Tracker lists</w:t>
            </w:r>
            <w:r w:rsidR="002A26CC" w:rsidRPr="009013AE">
              <w:rPr>
                <w:rFonts w:cstheme="minorHAnsi"/>
                <w:sz w:val="18"/>
                <w:szCs w:val="18"/>
              </w:rPr>
              <w:t xml:space="preserve"> for NEA tasks</w:t>
            </w:r>
          </w:p>
          <w:p w14:paraId="6CB0F3E9" w14:textId="432774DC" w:rsidR="002A26CC" w:rsidRDefault="002A26CC" w:rsidP="00301096">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Differentiated help cards</w:t>
            </w:r>
            <w:r w:rsidR="00DC0963" w:rsidRPr="009013AE">
              <w:rPr>
                <w:rFonts w:cstheme="minorHAnsi"/>
                <w:sz w:val="18"/>
                <w:szCs w:val="18"/>
              </w:rPr>
              <w:t xml:space="preserve"> for NEA tasks</w:t>
            </w:r>
          </w:p>
          <w:p w14:paraId="17D0BF67" w14:textId="77777777" w:rsidR="009013AE" w:rsidRDefault="0078602C" w:rsidP="0078602C">
            <w:pPr>
              <w:pStyle w:val="ListParagraph"/>
              <w:numPr>
                <w:ilvl w:val="0"/>
                <w:numId w:val="5"/>
              </w:numPr>
              <w:autoSpaceDE w:val="0"/>
              <w:autoSpaceDN w:val="0"/>
              <w:adjustRightInd w:val="0"/>
              <w:rPr>
                <w:rFonts w:cstheme="minorHAnsi"/>
                <w:sz w:val="18"/>
                <w:szCs w:val="18"/>
              </w:rPr>
            </w:pPr>
            <w:r w:rsidRPr="009013AE">
              <w:rPr>
                <w:rFonts w:cstheme="minorHAnsi"/>
                <w:sz w:val="18"/>
                <w:szCs w:val="18"/>
              </w:rPr>
              <w:t>PLC feedback sheets</w:t>
            </w:r>
          </w:p>
          <w:p w14:paraId="1F89F07A" w14:textId="77777777" w:rsidR="00E27B7E" w:rsidRDefault="001F388A" w:rsidP="0078602C">
            <w:pPr>
              <w:pStyle w:val="ListParagraph"/>
              <w:numPr>
                <w:ilvl w:val="0"/>
                <w:numId w:val="5"/>
              </w:numPr>
              <w:autoSpaceDE w:val="0"/>
              <w:autoSpaceDN w:val="0"/>
              <w:adjustRightInd w:val="0"/>
              <w:rPr>
                <w:rFonts w:cstheme="minorHAnsi"/>
                <w:sz w:val="18"/>
                <w:szCs w:val="18"/>
              </w:rPr>
            </w:pPr>
            <w:r>
              <w:rPr>
                <w:rFonts w:cstheme="minorHAnsi"/>
                <w:sz w:val="18"/>
                <w:szCs w:val="18"/>
              </w:rPr>
              <w:t>Mini</w:t>
            </w:r>
            <w:r w:rsidR="00E27B7E">
              <w:rPr>
                <w:rFonts w:cstheme="minorHAnsi"/>
                <w:sz w:val="18"/>
                <w:szCs w:val="18"/>
              </w:rPr>
              <w:t xml:space="preserve"> SWIK tests at end of each </w:t>
            </w:r>
            <w:r>
              <w:rPr>
                <w:rFonts w:cstheme="minorHAnsi"/>
                <w:sz w:val="18"/>
                <w:szCs w:val="18"/>
              </w:rPr>
              <w:t>u</w:t>
            </w:r>
            <w:r w:rsidR="00E27B7E">
              <w:rPr>
                <w:rFonts w:cstheme="minorHAnsi"/>
                <w:sz w:val="18"/>
                <w:szCs w:val="18"/>
              </w:rPr>
              <w:t>nit linked to PLCs</w:t>
            </w:r>
          </w:p>
          <w:p w14:paraId="0FBD34FB" w14:textId="18DA6F15" w:rsidR="00F66207" w:rsidRPr="0078602C" w:rsidRDefault="0075444F" w:rsidP="0078602C">
            <w:pPr>
              <w:pStyle w:val="ListParagraph"/>
              <w:numPr>
                <w:ilvl w:val="0"/>
                <w:numId w:val="5"/>
              </w:numPr>
              <w:autoSpaceDE w:val="0"/>
              <w:autoSpaceDN w:val="0"/>
              <w:adjustRightInd w:val="0"/>
              <w:rPr>
                <w:rFonts w:cstheme="minorHAnsi"/>
                <w:sz w:val="18"/>
                <w:szCs w:val="18"/>
              </w:rPr>
            </w:pPr>
            <w:r>
              <w:rPr>
                <w:rFonts w:cstheme="minorHAnsi"/>
                <w:sz w:val="18"/>
                <w:szCs w:val="18"/>
              </w:rPr>
              <w:t>Wow/how/now coded feedback</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AFA4" w14:textId="77777777" w:rsidR="007A21CC" w:rsidRDefault="007A21CC" w:rsidP="00EF159D">
      <w:pPr>
        <w:spacing w:after="0" w:line="240" w:lineRule="auto"/>
      </w:pPr>
      <w:r>
        <w:separator/>
      </w:r>
    </w:p>
  </w:endnote>
  <w:endnote w:type="continuationSeparator" w:id="0">
    <w:p w14:paraId="3C86CD26" w14:textId="77777777" w:rsidR="007A21CC" w:rsidRDefault="007A21CC"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4820" w14:textId="77777777" w:rsidR="007A21CC" w:rsidRDefault="007A21CC" w:rsidP="00EF159D">
      <w:pPr>
        <w:spacing w:after="0" w:line="240" w:lineRule="auto"/>
      </w:pPr>
      <w:r>
        <w:separator/>
      </w:r>
    </w:p>
  </w:footnote>
  <w:footnote w:type="continuationSeparator" w:id="0">
    <w:p w14:paraId="2BACBA58" w14:textId="77777777" w:rsidR="007A21CC" w:rsidRDefault="007A21CC"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53FBE"/>
    <w:multiLevelType w:val="hybridMultilevel"/>
    <w:tmpl w:val="66FE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44243"/>
    <w:rsid w:val="00075F76"/>
    <w:rsid w:val="000A71DF"/>
    <w:rsid w:val="000B115A"/>
    <w:rsid w:val="000D3943"/>
    <w:rsid w:val="00123033"/>
    <w:rsid w:val="0013294F"/>
    <w:rsid w:val="001829FF"/>
    <w:rsid w:val="001F388A"/>
    <w:rsid w:val="001F58A4"/>
    <w:rsid w:val="00201C62"/>
    <w:rsid w:val="00211997"/>
    <w:rsid w:val="00214827"/>
    <w:rsid w:val="002474B8"/>
    <w:rsid w:val="00271144"/>
    <w:rsid w:val="00271829"/>
    <w:rsid w:val="00280283"/>
    <w:rsid w:val="00282596"/>
    <w:rsid w:val="00294C7C"/>
    <w:rsid w:val="00294D64"/>
    <w:rsid w:val="00297F25"/>
    <w:rsid w:val="002A26CC"/>
    <w:rsid w:val="002C6FEF"/>
    <w:rsid w:val="002D0AD0"/>
    <w:rsid w:val="002D0B09"/>
    <w:rsid w:val="002E2D0E"/>
    <w:rsid w:val="00301096"/>
    <w:rsid w:val="00306A97"/>
    <w:rsid w:val="00335F83"/>
    <w:rsid w:val="00337896"/>
    <w:rsid w:val="00361B17"/>
    <w:rsid w:val="003A6C5C"/>
    <w:rsid w:val="003B3DC5"/>
    <w:rsid w:val="003C3F3C"/>
    <w:rsid w:val="003D04D0"/>
    <w:rsid w:val="00402747"/>
    <w:rsid w:val="004140BE"/>
    <w:rsid w:val="00427C49"/>
    <w:rsid w:val="00473121"/>
    <w:rsid w:val="00485609"/>
    <w:rsid w:val="004D5882"/>
    <w:rsid w:val="00515CAA"/>
    <w:rsid w:val="0051638F"/>
    <w:rsid w:val="005377A6"/>
    <w:rsid w:val="005845CA"/>
    <w:rsid w:val="005D5035"/>
    <w:rsid w:val="00634D8F"/>
    <w:rsid w:val="00637891"/>
    <w:rsid w:val="00644587"/>
    <w:rsid w:val="00650DF5"/>
    <w:rsid w:val="00657ECD"/>
    <w:rsid w:val="0068661A"/>
    <w:rsid w:val="0069406A"/>
    <w:rsid w:val="006D0B0F"/>
    <w:rsid w:val="00721D8F"/>
    <w:rsid w:val="00725354"/>
    <w:rsid w:val="0073661E"/>
    <w:rsid w:val="00745496"/>
    <w:rsid w:val="0075444F"/>
    <w:rsid w:val="00766647"/>
    <w:rsid w:val="007712DA"/>
    <w:rsid w:val="0078602C"/>
    <w:rsid w:val="007866BC"/>
    <w:rsid w:val="007A21CC"/>
    <w:rsid w:val="007C431C"/>
    <w:rsid w:val="007C64F5"/>
    <w:rsid w:val="007F753A"/>
    <w:rsid w:val="0081280A"/>
    <w:rsid w:val="00812F5F"/>
    <w:rsid w:val="00815E48"/>
    <w:rsid w:val="00820DB4"/>
    <w:rsid w:val="00821089"/>
    <w:rsid w:val="00840CD3"/>
    <w:rsid w:val="00844E47"/>
    <w:rsid w:val="00856DDE"/>
    <w:rsid w:val="00883D12"/>
    <w:rsid w:val="009013AE"/>
    <w:rsid w:val="00937507"/>
    <w:rsid w:val="00945F37"/>
    <w:rsid w:val="00972317"/>
    <w:rsid w:val="00993832"/>
    <w:rsid w:val="009C48E8"/>
    <w:rsid w:val="009D1ED1"/>
    <w:rsid w:val="009E640B"/>
    <w:rsid w:val="00A55D33"/>
    <w:rsid w:val="00A73F8E"/>
    <w:rsid w:val="00A97DEA"/>
    <w:rsid w:val="00B120C8"/>
    <w:rsid w:val="00B1566B"/>
    <w:rsid w:val="00B66656"/>
    <w:rsid w:val="00B73705"/>
    <w:rsid w:val="00B96464"/>
    <w:rsid w:val="00BA4E5C"/>
    <w:rsid w:val="00BD1212"/>
    <w:rsid w:val="00BD509B"/>
    <w:rsid w:val="00C063E8"/>
    <w:rsid w:val="00C11245"/>
    <w:rsid w:val="00C36793"/>
    <w:rsid w:val="00C7720D"/>
    <w:rsid w:val="00C80B32"/>
    <w:rsid w:val="00CC0680"/>
    <w:rsid w:val="00CC4F01"/>
    <w:rsid w:val="00CE79AA"/>
    <w:rsid w:val="00CF0E17"/>
    <w:rsid w:val="00D1623F"/>
    <w:rsid w:val="00D67787"/>
    <w:rsid w:val="00D7143D"/>
    <w:rsid w:val="00D72E9C"/>
    <w:rsid w:val="00D76415"/>
    <w:rsid w:val="00DA6679"/>
    <w:rsid w:val="00DA7FA8"/>
    <w:rsid w:val="00DC0963"/>
    <w:rsid w:val="00E055B4"/>
    <w:rsid w:val="00E26A14"/>
    <w:rsid w:val="00E27B7E"/>
    <w:rsid w:val="00E7390A"/>
    <w:rsid w:val="00E87AF6"/>
    <w:rsid w:val="00EB08A1"/>
    <w:rsid w:val="00EC0760"/>
    <w:rsid w:val="00EF159D"/>
    <w:rsid w:val="00F4032C"/>
    <w:rsid w:val="00F47B13"/>
    <w:rsid w:val="00F66207"/>
    <w:rsid w:val="00FA0066"/>
    <w:rsid w:val="00FB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13" ma:contentTypeDescription="Create a new document." ma:contentTypeScope="" ma:versionID="a481d15553790439a8f4ec0d24aeaee6">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5eb361fd8511bed0d241ea606931d6cc"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3F58AE36-D030-4071-8A0D-36AB8826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33</cp:revision>
  <dcterms:created xsi:type="dcterms:W3CDTF">2020-07-01T08:58:00Z</dcterms:created>
  <dcterms:modified xsi:type="dcterms:W3CDTF">2020-07-10T06:51:00Z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