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06D31A91" w14:paraId="491C8FA4" w14:textId="1828FA99">
        <w:trPr>
          <w:trHeight w:val="231"/>
        </w:trPr>
        <w:tc>
          <w:tcPr>
            <w:tcW w:w="11052" w:type="dxa"/>
            <w:gridSpan w:val="2"/>
            <w:tcMar/>
            <w:vAlign w:val="center"/>
          </w:tcPr>
          <w:p w:rsidRPr="00D83AA3" w:rsidR="00E741AE" w:rsidP="06D31A91" w:rsidRDefault="00F72BA4" w14:paraId="4E3A8083" w14:textId="5F0236DB">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6D31A91" w:rsidR="002818A9">
              <w:rPr>
                <w:rFonts w:ascii="Twinkl" w:hAnsi="Twinkl"/>
                <w:b w:val="1"/>
                <w:bCs w:val="1"/>
                <w:sz w:val="36"/>
                <w:szCs w:val="36"/>
              </w:rPr>
              <w:t xml:space="preserve">YEAR </w:t>
            </w:r>
            <w:r w:rsidRPr="06D31A91" w:rsidR="001A3057">
              <w:rPr>
                <w:rFonts w:ascii="Twinkl" w:hAnsi="Twinkl"/>
                <w:b w:val="1"/>
                <w:bCs w:val="1"/>
                <w:sz w:val="36"/>
                <w:szCs w:val="36"/>
              </w:rPr>
              <w:t>____</w:t>
            </w:r>
            <w:r w:rsidRPr="06D31A91" w:rsidR="00175C24">
              <w:rPr>
                <w:rFonts w:ascii="Twinkl" w:hAnsi="Twinkl"/>
                <w:b w:val="1"/>
                <w:bCs w:val="1"/>
                <w:sz w:val="36"/>
                <w:szCs w:val="36"/>
              </w:rPr>
              <w:t xml:space="preserve"> </w:t>
            </w:r>
            <w:r w:rsidRPr="06D31A91" w:rsidR="00254CD3">
              <w:rPr>
                <w:rFonts w:ascii="Twinkl" w:hAnsi="Twinkl"/>
                <w:b w:val="1"/>
                <w:bCs w:val="1"/>
                <w:sz w:val="36"/>
                <w:szCs w:val="36"/>
              </w:rPr>
              <w:t>20</w:t>
            </w:r>
            <w:r w:rsidRPr="06D31A91" w:rsidR="00535341">
              <w:rPr>
                <w:rFonts w:ascii="Twinkl" w:hAnsi="Twinkl"/>
                <w:b w:val="1"/>
                <w:bCs w:val="1"/>
                <w:sz w:val="36"/>
                <w:szCs w:val="36"/>
              </w:rPr>
              <w:t>2</w:t>
            </w:r>
            <w:r w:rsidRPr="06D31A91" w:rsidR="08B6480A">
              <w:rPr>
                <w:rFonts w:ascii="Twinkl" w:hAnsi="Twinkl"/>
                <w:b w:val="1"/>
                <w:bCs w:val="1"/>
                <w:sz w:val="36"/>
                <w:szCs w:val="36"/>
              </w:rPr>
              <w:t>3</w:t>
            </w:r>
            <w:r w:rsidRPr="06D31A91" w:rsidR="00BE317D">
              <w:rPr>
                <w:rFonts w:ascii="Twinkl" w:hAnsi="Twinkl"/>
                <w:b w:val="1"/>
                <w:bCs w:val="1"/>
                <w:sz w:val="36"/>
                <w:szCs w:val="36"/>
              </w:rPr>
              <w:t>-202</w:t>
            </w:r>
            <w:r w:rsidRPr="06D31A91" w:rsidR="768FF83E">
              <w:rPr>
                <w:rFonts w:ascii="Twinkl" w:hAnsi="Twinkl"/>
                <w:b w:val="1"/>
                <w:bCs w:val="1"/>
                <w:sz w:val="36"/>
                <w:szCs w:val="36"/>
              </w:rPr>
              <w:t>4</w:t>
            </w:r>
            <w:r w:rsidRPr="06D31A91" w:rsidR="001A3057">
              <w:rPr>
                <w:rFonts w:ascii="Twinkl" w:hAnsi="Twinkl"/>
                <w:b w:val="1"/>
                <w:bCs w:val="1"/>
                <w:sz w:val="36"/>
                <w:szCs w:val="36"/>
              </w:rPr>
              <w:t>_____</w:t>
            </w:r>
            <w:r w:rsidRPr="06D31A91" w:rsidR="00387EAA">
              <w:rPr>
                <w:rFonts w:ascii="Twinkl" w:hAnsi="Twinkl"/>
                <w:b w:val="1"/>
                <w:bCs w:val="1"/>
                <w:sz w:val="36"/>
                <w:szCs w:val="36"/>
              </w:rPr>
              <w:t xml:space="preserve"> TERM</w:t>
            </w:r>
            <w:r w:rsidRPr="06D31A91" w:rsidR="00786FF1">
              <w:rPr>
                <w:rFonts w:ascii="Twinkl" w:hAnsi="Twinkl"/>
                <w:b w:val="1"/>
                <w:bCs w:val="1"/>
                <w:sz w:val="36"/>
                <w:szCs w:val="36"/>
              </w:rPr>
              <w:t xml:space="preserve">: </w:t>
            </w:r>
            <w:r w:rsidRPr="06D31A91" w:rsidR="00117535">
              <w:rPr>
                <w:rFonts w:ascii="Twinkl" w:hAnsi="Twinkl"/>
                <w:b w:val="1"/>
                <w:bCs w:val="1"/>
                <w:sz w:val="36"/>
                <w:szCs w:val="36"/>
              </w:rPr>
              <w:t>Spring 2/Summer 1</w:t>
            </w:r>
            <w:r w:rsidRPr="06D31A91" w:rsidR="00786FF1">
              <w:rPr>
                <w:rFonts w:ascii="Twinkl" w:hAnsi="Twinkl"/>
                <w:b w:val="1"/>
                <w:bCs w:val="1"/>
                <w:sz w:val="36"/>
                <w:szCs w:val="36"/>
              </w:rPr>
              <w:t xml:space="preserve"> </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2F38BCCF">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EF59BF">
              <w:rPr>
                <w:rFonts w:ascii="Twinkl" w:hAnsi="Twinkl"/>
                <w:b/>
                <w:sz w:val="32"/>
                <w:szCs w:val="32"/>
              </w:rPr>
              <w:t>Immunology &amp; Disease</w:t>
            </w:r>
          </w:p>
        </w:tc>
      </w:tr>
      <w:tr w:rsidRPr="00D83AA3" w:rsidR="001A3057" w:rsidTr="06D31A91"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7CDA1E93">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w:t>
            </w:r>
            <w:r w:rsidR="008F24EF">
              <w:rPr>
                <w:rFonts w:cstheme="minorHAnsi"/>
                <w:b/>
                <w:bCs/>
                <w:sz w:val="20"/>
                <w:szCs w:val="20"/>
              </w:rPr>
              <w:t>Healthy Living</w:t>
            </w:r>
            <w:r w:rsidR="00C441C4">
              <w:rPr>
                <w:rFonts w:cstheme="minorHAnsi"/>
                <w:b/>
                <w:bCs/>
                <w:sz w:val="20"/>
                <w:szCs w:val="20"/>
              </w:rPr>
              <w:t xml:space="preserve"> and KS4 Topic 1 Cell Structure &amp; Transport</w:t>
            </w:r>
            <w:r w:rsidRPr="00B02EC1" w:rsidR="000B09FD">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Pr="00680E0A" w:rsidR="00680E0A" w:rsidP="00680E0A" w:rsidRDefault="00680E0A" w14:paraId="244DBB5D"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80E0A">
              <w:rPr>
                <w:rFonts w:ascii="Twinkl" w:hAnsi="Twinkl" w:eastAsia="Times New Roman" w:cs="Calibri"/>
                <w:color w:val="000000"/>
                <w:sz w:val="20"/>
                <w:szCs w:val="20"/>
                <w:lang w:val="en-GB" w:eastAsia="fr-FR"/>
              </w:rPr>
              <w:t>the relationship between health and disease</w:t>
            </w:r>
          </w:p>
          <w:p w:rsidRPr="00680E0A" w:rsidR="00680E0A" w:rsidP="00680E0A" w:rsidRDefault="00680E0A" w14:paraId="52013B05" w14:textId="37AC53E9">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80E0A">
              <w:rPr>
                <w:rFonts w:ascii="Twinkl" w:hAnsi="Twinkl" w:eastAsia="Times New Roman" w:cs="Calibri"/>
                <w:color w:val="000000"/>
                <w:sz w:val="20"/>
                <w:szCs w:val="20"/>
                <w:lang w:val="en-GB" w:eastAsia="fr-FR"/>
              </w:rPr>
              <w:t>communicable diseases including sexually transmitted infections in humans</w:t>
            </w:r>
            <w:r>
              <w:rPr>
                <w:rFonts w:ascii="Twinkl" w:hAnsi="Twinkl" w:eastAsia="Times New Roman" w:cs="Calibri"/>
                <w:color w:val="000000"/>
                <w:sz w:val="20"/>
                <w:szCs w:val="20"/>
                <w:lang w:val="en-GB" w:eastAsia="fr-FR"/>
              </w:rPr>
              <w:t xml:space="preserve"> </w:t>
            </w:r>
            <w:r w:rsidRPr="00680E0A">
              <w:rPr>
                <w:rFonts w:ascii="Twinkl" w:hAnsi="Twinkl" w:eastAsia="Times New Roman" w:cs="Calibri"/>
                <w:color w:val="000000"/>
                <w:sz w:val="20"/>
                <w:szCs w:val="20"/>
                <w:lang w:val="en-GB" w:eastAsia="fr-FR"/>
              </w:rPr>
              <w:t>(including HIV/AIDs)</w:t>
            </w:r>
          </w:p>
          <w:p w:rsidRPr="00680E0A" w:rsidR="00680E0A" w:rsidP="00680E0A" w:rsidRDefault="00680E0A" w14:paraId="43811025" w14:textId="35E34B5D">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80E0A">
              <w:rPr>
                <w:rFonts w:ascii="Twinkl" w:hAnsi="Twinkl" w:eastAsia="Times New Roman" w:cs="Calibri"/>
                <w:color w:val="000000"/>
                <w:sz w:val="20"/>
                <w:szCs w:val="20"/>
                <w:lang w:val="en-GB" w:eastAsia="fr-FR"/>
              </w:rPr>
              <w:t>bacteria, viruses and fungi as pathogens in animals and plants</w:t>
            </w:r>
          </w:p>
          <w:p w:rsidRPr="00680E0A" w:rsidR="00680E0A" w:rsidP="00680E0A" w:rsidRDefault="00680E0A" w14:paraId="63EFC814" w14:textId="0A1ACEC0">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80E0A">
              <w:rPr>
                <w:rFonts w:ascii="Twinkl" w:hAnsi="Twinkl" w:eastAsia="Times New Roman" w:cs="Calibri"/>
                <w:color w:val="000000"/>
                <w:sz w:val="20"/>
                <w:szCs w:val="20"/>
                <w:lang w:val="en-GB" w:eastAsia="fr-FR"/>
              </w:rPr>
              <w:t>body defences against pathogens and the role of the immune system against</w:t>
            </w:r>
            <w:r>
              <w:rPr>
                <w:rFonts w:ascii="Twinkl" w:hAnsi="Twinkl" w:eastAsia="Times New Roman" w:cs="Calibri"/>
                <w:color w:val="000000"/>
                <w:sz w:val="20"/>
                <w:szCs w:val="20"/>
                <w:lang w:val="en-GB" w:eastAsia="fr-FR"/>
              </w:rPr>
              <w:t xml:space="preserve"> </w:t>
            </w:r>
            <w:r w:rsidRPr="00680E0A">
              <w:rPr>
                <w:rFonts w:ascii="Twinkl" w:hAnsi="Twinkl" w:eastAsia="Times New Roman" w:cs="Calibri"/>
                <w:color w:val="000000"/>
                <w:sz w:val="20"/>
                <w:szCs w:val="20"/>
                <w:lang w:val="en-GB" w:eastAsia="fr-FR"/>
              </w:rPr>
              <w:t>disease</w:t>
            </w:r>
          </w:p>
          <w:p w:rsidRPr="00680E0A" w:rsidR="00680E0A" w:rsidP="00AA6533" w:rsidRDefault="00680E0A" w14:paraId="01E0445F" w14:textId="3E6F2644">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80E0A">
              <w:rPr>
                <w:rFonts w:ascii="Twinkl" w:hAnsi="Twinkl" w:eastAsia="Times New Roman" w:cs="Calibri"/>
                <w:color w:val="000000"/>
                <w:sz w:val="20"/>
                <w:szCs w:val="20"/>
                <w:lang w:val="en-GB" w:eastAsia="fr-FR"/>
              </w:rPr>
              <w:t>reducing and preventing the spread of infectious diseases in animals and</w:t>
            </w:r>
            <w:r>
              <w:rPr>
                <w:rFonts w:ascii="Twinkl" w:hAnsi="Twinkl" w:eastAsia="Times New Roman" w:cs="Calibri"/>
                <w:color w:val="000000"/>
                <w:sz w:val="20"/>
                <w:szCs w:val="20"/>
                <w:lang w:val="en-GB" w:eastAsia="fr-FR"/>
              </w:rPr>
              <w:t xml:space="preserve"> </w:t>
            </w:r>
            <w:r w:rsidRPr="00680E0A">
              <w:rPr>
                <w:rFonts w:ascii="Twinkl" w:hAnsi="Twinkl" w:eastAsia="Times New Roman" w:cs="Calibri"/>
                <w:color w:val="000000"/>
                <w:sz w:val="20"/>
                <w:szCs w:val="20"/>
                <w:lang w:val="en-GB" w:eastAsia="fr-FR"/>
              </w:rPr>
              <w:t>plants</w:t>
            </w:r>
          </w:p>
          <w:p w:rsidRPr="00B02EC1" w:rsidR="006E2D75" w:rsidP="00680E0A" w:rsidRDefault="00680E0A" w14:paraId="489746C4" w14:textId="4D129560">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80E0A">
              <w:rPr>
                <w:rFonts w:ascii="Twinkl" w:hAnsi="Twinkl" w:eastAsia="Times New Roman" w:cs="Calibri"/>
                <w:color w:val="000000"/>
                <w:sz w:val="20"/>
                <w:szCs w:val="20"/>
                <w:lang w:val="en-GB" w:eastAsia="fr-FR"/>
              </w:rPr>
              <w:t>the process of discovery and development of new medicines</w:t>
            </w:r>
          </w:p>
        </w:tc>
      </w:tr>
      <w:tr w:rsidRPr="00D83AA3" w:rsidR="001A3057" w:rsidTr="06D31A91"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06D31A91"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680E0A" w:rsidR="00A457A1" w:rsidP="00A457A1" w:rsidRDefault="00A457A1" w14:paraId="648D2CEE" w14:textId="50B63159">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680E0A">
              <w:rPr>
                <w:rFonts w:ascii="Twinkl" w:hAnsi="Twinkl"/>
                <w:bCs/>
                <w:sz w:val="20"/>
                <w:szCs w:val="20"/>
              </w:rPr>
              <w:t xml:space="preserve">Communicable diseases, </w:t>
            </w:r>
            <w:r w:rsidR="00D71E48">
              <w:rPr>
                <w:rFonts w:ascii="Twinkl" w:hAnsi="Twinkl"/>
                <w:bCs/>
                <w:sz w:val="20"/>
                <w:szCs w:val="20"/>
              </w:rPr>
              <w:t>clinical trials,</w:t>
            </w:r>
            <w:r w:rsidR="007D2262">
              <w:rPr>
                <w:rFonts w:ascii="Twinkl" w:hAnsi="Twinkl"/>
                <w:bCs/>
                <w:sz w:val="20"/>
                <w:szCs w:val="20"/>
              </w:rPr>
              <w:t xml:space="preserve"> making informed health decisions</w:t>
            </w:r>
          </w:p>
          <w:p w:rsidRPr="00B02EC1" w:rsidR="00A457A1" w:rsidP="00A457A1" w:rsidRDefault="00A457A1" w14:paraId="17018E3D" w14:textId="1B9093D5">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r w:rsidR="00D71E48">
              <w:rPr>
                <w:rFonts w:ascii="Twinkl" w:hAnsi="Twinkl" w:eastAsia="Times New Roman" w:cs="Arial"/>
                <w:color w:val="000000"/>
                <w:sz w:val="20"/>
                <w:szCs w:val="20"/>
                <w:lang w:eastAsia="en-GB"/>
              </w:rPr>
              <w:t>Spread of disease, sexually transmitted infections</w:t>
            </w:r>
            <w:r w:rsidR="007D2262">
              <w:rPr>
                <w:rFonts w:ascii="Twinkl" w:hAnsi="Twinkl" w:eastAsia="Times New Roman" w:cs="Arial"/>
                <w:color w:val="000000"/>
                <w:sz w:val="20"/>
                <w:szCs w:val="20"/>
                <w:lang w:eastAsia="en-GB"/>
              </w:rPr>
              <w:t>, herd immunity</w:t>
            </w:r>
          </w:p>
          <w:p w:rsidRPr="007A74D8" w:rsidR="00A50387" w:rsidP="00A457A1" w:rsidRDefault="00A50387" w14:paraId="46F64BFE" w14:textId="304CA124">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7D2262">
              <w:rPr>
                <w:rFonts w:ascii="Twinkl" w:hAnsi="Twinkl" w:cs="Arial"/>
                <w:b/>
                <w:sz w:val="20"/>
                <w:szCs w:val="20"/>
              </w:rPr>
              <w:t xml:space="preserve"> </w:t>
            </w:r>
            <w:r w:rsidR="00246141">
              <w:rPr>
                <w:rFonts w:ascii="Twinkl" w:hAnsi="Twinkl" w:cs="Arial"/>
                <w:bCs/>
                <w:sz w:val="20"/>
                <w:szCs w:val="20"/>
              </w:rPr>
              <w:t>Health communication &amp; decision making</w:t>
            </w:r>
          </w:p>
        </w:tc>
      </w:tr>
      <w:tr w:rsidRPr="00D83AA3" w:rsidR="000E05F4" w:rsidTr="06D31A91"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AD01E6" w:rsidR="00A00CA7" w:rsidP="00A457A1" w:rsidRDefault="0060606C" w14:paraId="4A0E0131" w14:textId="566998B5">
            <w:pPr>
              <w:autoSpaceDE w:val="0"/>
              <w:autoSpaceDN w:val="0"/>
              <w:adjustRightInd w:val="0"/>
              <w:rPr>
                <w:rFonts w:ascii="Twinkl" w:hAnsi="Twinkl"/>
                <w:bCs/>
                <w:sz w:val="20"/>
                <w:szCs w:val="20"/>
              </w:rPr>
            </w:pPr>
            <w:r>
              <w:rPr>
                <w:rFonts w:ascii="Twinkl" w:hAnsi="Twinkl"/>
                <w:bCs/>
                <w:sz w:val="20"/>
                <w:szCs w:val="20"/>
              </w:rPr>
              <w:t xml:space="preserve">Calculation of numbers in a bacterial colony through exponential increase, </w:t>
            </w:r>
            <w:r w:rsidR="00AE21A5">
              <w:rPr>
                <w:rFonts w:ascii="Twinkl" w:hAnsi="Twinkl"/>
                <w:bCs/>
                <w:sz w:val="20"/>
                <w:szCs w:val="20"/>
              </w:rPr>
              <w:t>graphical representation of antibod</w:t>
            </w:r>
            <w:r w:rsidR="001E61A4">
              <w:rPr>
                <w:rFonts w:ascii="Twinkl" w:hAnsi="Twinkl"/>
                <w:bCs/>
                <w:sz w:val="20"/>
                <w:szCs w:val="20"/>
              </w:rPr>
              <w:t xml:space="preserve">y production, interpretation of health data </w:t>
            </w:r>
          </w:p>
        </w:tc>
      </w:tr>
      <w:tr w:rsidRPr="00D83AA3" w:rsidR="00E8717B" w:rsidTr="06D31A91"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1E45E0F7">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7D2262">
              <w:rPr>
                <w:rFonts w:ascii="Twinkl" w:hAnsi="Twinkl"/>
                <w:bCs/>
                <w:sz w:val="20"/>
                <w:szCs w:val="20"/>
              </w:rPr>
              <w:t xml:space="preserve">Health, bacteria, virus, fungus, </w:t>
            </w:r>
            <w:r w:rsidR="00A70C83">
              <w:rPr>
                <w:rFonts w:ascii="Twinkl" w:hAnsi="Twinkl"/>
                <w:bCs/>
                <w:sz w:val="20"/>
                <w:szCs w:val="20"/>
              </w:rPr>
              <w:t xml:space="preserve">microorganisms, </w:t>
            </w:r>
            <w:r w:rsidR="001B2D67">
              <w:rPr>
                <w:rFonts w:ascii="Twinkl" w:hAnsi="Twinkl"/>
                <w:bCs/>
                <w:sz w:val="20"/>
                <w:szCs w:val="20"/>
              </w:rPr>
              <w:t xml:space="preserve">toxin, </w:t>
            </w:r>
            <w:r w:rsidR="000E0165">
              <w:rPr>
                <w:rFonts w:ascii="Twinkl" w:hAnsi="Twinkl"/>
                <w:bCs/>
                <w:sz w:val="20"/>
                <w:szCs w:val="20"/>
              </w:rPr>
              <w:t xml:space="preserve">engulf, </w:t>
            </w:r>
            <w:r w:rsidR="002C0D30">
              <w:rPr>
                <w:rFonts w:ascii="Twinkl" w:hAnsi="Twinkl"/>
                <w:bCs/>
                <w:sz w:val="20"/>
                <w:szCs w:val="20"/>
              </w:rPr>
              <w:t>measles, salmonella,</w:t>
            </w:r>
            <w:r w:rsidR="00354BEB">
              <w:rPr>
                <w:rFonts w:ascii="Twinkl" w:hAnsi="Twinkl"/>
                <w:bCs/>
                <w:sz w:val="20"/>
                <w:szCs w:val="20"/>
              </w:rPr>
              <w:t xml:space="preserve"> transmission, vaccination, antibiotics, painkillers</w:t>
            </w:r>
          </w:p>
          <w:p w:rsidRPr="007D2262" w:rsidR="00932796" w:rsidP="00A457A1" w:rsidRDefault="00962F1D" w14:paraId="637F8A40" w14:textId="2763BF9A">
            <w:pPr>
              <w:autoSpaceDE w:val="0"/>
              <w:autoSpaceDN w:val="0"/>
              <w:adjustRightInd w:val="0"/>
              <w:rPr>
                <w:rFonts w:ascii="Twinkl" w:hAnsi="Twinkl"/>
                <w:bCs/>
                <w:sz w:val="20"/>
                <w:szCs w:val="20"/>
              </w:rPr>
            </w:pPr>
            <w:r>
              <w:rPr>
                <w:rFonts w:ascii="Twinkl" w:hAnsi="Twinkl"/>
                <w:b/>
                <w:sz w:val="20"/>
                <w:szCs w:val="20"/>
              </w:rPr>
              <w:t>Vocabulary Tier 3:</w:t>
            </w:r>
            <w:r w:rsidR="00DF7D74">
              <w:rPr>
                <w:rFonts w:ascii="Twinkl" w:hAnsi="Twinkl"/>
                <w:b/>
                <w:sz w:val="20"/>
                <w:szCs w:val="20"/>
              </w:rPr>
              <w:t xml:space="preserve"> </w:t>
            </w:r>
            <w:r w:rsidR="00A70C83">
              <w:rPr>
                <w:rFonts w:ascii="Twinkl" w:hAnsi="Twinkl"/>
                <w:bCs/>
                <w:sz w:val="20"/>
                <w:szCs w:val="20"/>
              </w:rPr>
              <w:t xml:space="preserve">Communicable, </w:t>
            </w:r>
            <w:r w:rsidR="000E0165">
              <w:rPr>
                <w:rFonts w:ascii="Twinkl" w:hAnsi="Twinkl"/>
                <w:bCs/>
                <w:sz w:val="20"/>
                <w:szCs w:val="20"/>
              </w:rPr>
              <w:t xml:space="preserve">antibody, antigen, antitoxin, </w:t>
            </w:r>
            <w:r w:rsidR="00A70C83">
              <w:rPr>
                <w:rFonts w:ascii="Twinkl" w:hAnsi="Twinkl"/>
                <w:bCs/>
                <w:sz w:val="20"/>
                <w:szCs w:val="20"/>
              </w:rPr>
              <w:t>p</w:t>
            </w:r>
            <w:r w:rsidR="007D2262">
              <w:rPr>
                <w:rFonts w:ascii="Twinkl" w:hAnsi="Twinkl"/>
                <w:bCs/>
                <w:sz w:val="20"/>
                <w:szCs w:val="20"/>
              </w:rPr>
              <w:t xml:space="preserve">athogen, </w:t>
            </w:r>
            <w:r w:rsidR="00A70565">
              <w:rPr>
                <w:rFonts w:ascii="Twinkl" w:hAnsi="Twinkl"/>
                <w:bCs/>
                <w:sz w:val="20"/>
                <w:szCs w:val="20"/>
              </w:rPr>
              <w:t xml:space="preserve">gonorrhea, </w:t>
            </w:r>
            <w:r w:rsidR="00354BEB">
              <w:rPr>
                <w:rFonts w:ascii="Twinkl" w:hAnsi="Twinkl"/>
                <w:bCs/>
                <w:sz w:val="20"/>
                <w:szCs w:val="20"/>
              </w:rPr>
              <w:t xml:space="preserve">immune system, </w:t>
            </w:r>
            <w:r w:rsidRPr="00893FA4" w:rsidR="00893FA4">
              <w:rPr>
                <w:rFonts w:ascii="Twinkl" w:hAnsi="Twinkl"/>
                <w:bCs/>
                <w:i/>
                <w:iCs/>
                <w:sz w:val="20"/>
                <w:szCs w:val="20"/>
              </w:rPr>
              <w:t>Biology only: monoclonal</w:t>
            </w:r>
            <w:r w:rsidR="00893FA4">
              <w:rPr>
                <w:rFonts w:ascii="Twinkl" w:hAnsi="Twinkl"/>
                <w:bCs/>
                <w:i/>
                <w:iCs/>
                <w:sz w:val="20"/>
                <w:szCs w:val="20"/>
              </w:rPr>
              <w:t xml:space="preserve"> antibodies</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are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06D31A91"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339D0095">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 (Required Practicals in </w:t>
            </w:r>
            <w:r w:rsidR="000B3E32">
              <w:rPr>
                <w:rFonts w:ascii="Twinkl" w:hAnsi="Twinkl" w:eastAsia="Times New Roman" w:cstheme="minorHAnsi"/>
                <w:sz w:val="20"/>
                <w:szCs w:val="20"/>
                <w:bdr w:val="none" w:color="auto" w:sz="0" w:space="0" w:frame="1"/>
                <w:lang w:val="en-GB" w:eastAsia="en-GB"/>
              </w:rPr>
              <w:t>testing for carbohydrates, proteins and lipids and measuring the effect of pH on amylase activity</w:t>
            </w:r>
            <w:r w:rsidRPr="007D266F" w:rsidR="007D266F">
              <w:rPr>
                <w:rFonts w:ascii="Twinkl" w:hAnsi="Twinkl" w:eastAsia="Times New Roman" w:cstheme="minorHAnsi"/>
                <w:sz w:val="20"/>
                <w:szCs w:val="20"/>
                <w:bdr w:val="none" w:color="auto" w:sz="0" w:space="0" w:frame="1"/>
                <w:lang w:val="en-GB" w:eastAsia="en-GB"/>
              </w:rPr>
              <w:t>)</w:t>
            </w:r>
          </w:p>
        </w:tc>
      </w:tr>
      <w:tr w:rsidRPr="00D83AA3" w:rsidR="00BA02B9" w:rsidTr="06D31A91"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741C1530">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‘foundation’ booklets produced</w:t>
            </w:r>
            <w:r w:rsidR="000B1A63">
              <w:rPr>
                <w:rFonts w:ascii="Twinkl" w:hAnsi="Twinkl" w:cstheme="minorHAnsi"/>
                <w:color w:val="000000"/>
                <w:sz w:val="20"/>
                <w:szCs w:val="20"/>
              </w:rPr>
              <w:t xml:space="preserve"> in conjunction with class teachers for students who would benefit from additional scaffolding of resources in order to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06D31A91"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06D31A91"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Pr="00534E0A" w:rsidR="00534E0A" w:rsidP="00534E0A" w:rsidRDefault="00534E0A" w14:paraId="6CAB44C6"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3.1.1.a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what a pathogen is and how pathogens are spread.</w:t>
            </w:r>
          </w:p>
          <w:p w:rsidRPr="00534E0A" w:rsidR="00534E0A" w:rsidP="00534E0A" w:rsidRDefault="00534E0A" w14:paraId="017A4337"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3.1.1.b</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explain how pathogenic bacteria and viruses cause damage in the body.</w:t>
            </w:r>
          </w:p>
          <w:p w:rsidRPr="00534E0A" w:rsidR="00534E0A" w:rsidP="00534E0A" w:rsidRDefault="00534E0A" w14:paraId="4A713C05"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lastRenderedPageBreak/>
              <w:t>3.1.1.c</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explain how the spread of diseases can be reduced or prevented.</w:t>
            </w:r>
          </w:p>
          <w:p w:rsidRPr="00534E0A" w:rsidR="00534E0A" w:rsidP="00534E0A" w:rsidRDefault="00534E0A" w14:paraId="751857A4"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3.1.2.a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measles, HIV and tobacco mosaic virus as examples of viral pathogens (to include pathology, treatment and disease control where appropriate).</w:t>
            </w:r>
          </w:p>
          <w:p w:rsidRPr="00534E0A" w:rsidR="00534E0A" w:rsidP="00534E0A" w:rsidRDefault="00534E0A" w14:paraId="41E7335A"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3.1.3.a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salmonella food poisoning and gonorrhoea as examples of bacterial pathogens (to include pathology, treatment and disease control where appropriate).</w:t>
            </w:r>
          </w:p>
          <w:p w:rsidRPr="00534E0A" w:rsidR="00534E0A" w:rsidP="00534E0A" w:rsidRDefault="00534E0A" w14:paraId="5DA9D870"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3.1.4.a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the signs, transmission and treatment of rose black spot infection in plants.</w:t>
            </w:r>
          </w:p>
          <w:p w:rsidRPr="00534E0A" w:rsidR="00534E0A" w:rsidP="00534E0A" w:rsidRDefault="00534E0A" w14:paraId="57E12B3C"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3.1.5.a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the symptoms, transmission and control of malaria, including knowledge of the mosquito vector.</w:t>
            </w:r>
          </w:p>
          <w:p w:rsidRPr="00534E0A" w:rsidR="00534E0A" w:rsidP="00534E0A" w:rsidRDefault="00534E0A" w14:paraId="744481DF"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3.1.6.a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defences that stop pathogens entering the human body.</w:t>
            </w:r>
          </w:p>
          <w:p w:rsidRPr="00534E0A" w:rsidR="00534E0A" w:rsidP="00534E0A" w:rsidRDefault="00534E0A" w14:paraId="0337497E"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3.1.6.b</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state the role of the immune system.</w:t>
            </w:r>
          </w:p>
          <w:p w:rsidRPr="00534E0A" w:rsidR="00534E0A" w:rsidP="00534E0A" w:rsidRDefault="00534E0A" w14:paraId="7B0B157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3.1.6.c</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how white blood cells attack pathogens.</w:t>
            </w:r>
          </w:p>
          <w:p w:rsidRPr="00534E0A" w:rsidR="00534E0A" w:rsidP="00534E0A" w:rsidRDefault="00534E0A" w14:paraId="7342E33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3.1.7.a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how vaccination works, including at the population level.</w:t>
            </w:r>
          </w:p>
          <w:p w:rsidRPr="00534E0A" w:rsidR="00534E0A" w:rsidP="00534E0A" w:rsidRDefault="00534E0A" w14:paraId="68130732"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3.1.8.a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explain how antibiotics and painkillers are used to treat diseases, including their limitations.</w:t>
            </w:r>
          </w:p>
          <w:p w:rsidRPr="00534E0A" w:rsidR="00534E0A" w:rsidP="00534E0A" w:rsidRDefault="00534E0A" w14:paraId="3D080A1E"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3.1.9.a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how sources for drugs have changed over time and give some examples.</w:t>
            </w:r>
          </w:p>
          <w:p w:rsidR="00534E0A" w:rsidP="00534E0A" w:rsidRDefault="00534E0A" w14:paraId="7878EB86" w14:textId="2E32608F">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3.1.9.b</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how new drugs are tested, including pre-clinical testing and clinical trials.</w:t>
            </w:r>
          </w:p>
          <w:p w:rsidRPr="00534E0A" w:rsidR="00EE0735" w:rsidP="00534E0A" w:rsidRDefault="00EE0735" w14:paraId="5DAF211E"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534E0A" w:rsidR="00534E0A" w:rsidP="00534E0A" w:rsidRDefault="00534E0A" w14:paraId="51F07096" w14:textId="77777777">
            <w:pPr>
              <w:shd w:val="clear" w:color="auto" w:fill="FFFFFF"/>
              <w:textAlignment w:val="baseline"/>
              <w:rPr>
                <w:rFonts w:ascii="Twinkl" w:hAnsi="Twinkl" w:eastAsia="Times New Roman" w:cstheme="minorHAnsi"/>
                <w:b/>
                <w:bCs/>
                <w:i/>
                <w:iCs/>
                <w:color w:val="000000" w:themeColor="text1"/>
                <w:sz w:val="20"/>
                <w:szCs w:val="20"/>
                <w:lang w:val="en-GB" w:eastAsia="en-GB"/>
              </w:rPr>
            </w:pPr>
            <w:r w:rsidRPr="00534E0A">
              <w:rPr>
                <w:rFonts w:ascii="Twinkl" w:hAnsi="Twinkl" w:eastAsia="Times New Roman" w:cstheme="minorHAnsi"/>
                <w:b/>
                <w:bCs/>
                <w:i/>
                <w:iCs/>
                <w:color w:val="000000" w:themeColor="text1"/>
                <w:sz w:val="20"/>
                <w:szCs w:val="20"/>
                <w:lang w:val="en-GB" w:eastAsia="en-GB"/>
              </w:rPr>
              <w:t>GCSE Biology only</w:t>
            </w:r>
          </w:p>
          <w:p w:rsidRPr="00534E0A" w:rsidR="00534E0A" w:rsidP="00534E0A" w:rsidRDefault="00534E0A" w14:paraId="101BFC8B"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3.2.1.a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what monoclonal antibodies are and why they are useful.</w:t>
            </w:r>
          </w:p>
          <w:p w:rsidRPr="00534E0A" w:rsidR="00534E0A" w:rsidP="00534E0A" w:rsidRDefault="00534E0A" w14:paraId="1CB41001"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3.2.1.b</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describe how monoclonal antibodies are produced.</w:t>
            </w:r>
          </w:p>
          <w:p w:rsidRPr="00534E0A" w:rsidR="00534E0A" w:rsidP="00534E0A" w:rsidRDefault="00534E0A" w14:paraId="42D6AFFC"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3.2.2.a</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explain how monoclonal antibodies are used for diagnosis, research, chemical testing, and disease treatments.</w:t>
            </w:r>
          </w:p>
          <w:p w:rsidR="007C023B" w:rsidP="00534E0A" w:rsidRDefault="00534E0A" w14:paraId="396E303B" w14:textId="7DCF747B">
            <w:pPr>
              <w:shd w:val="clear" w:color="auto" w:fill="FFFFFF"/>
              <w:textAlignment w:val="baseline"/>
              <w:rPr>
                <w:rFonts w:ascii="Twinkl" w:hAnsi="Twinkl" w:eastAsia="Times New Roman" w:cstheme="minorHAnsi"/>
                <w:color w:val="000000" w:themeColor="text1"/>
                <w:sz w:val="20"/>
                <w:szCs w:val="20"/>
                <w:lang w:val="en-GB" w:eastAsia="en-GB"/>
              </w:rPr>
            </w:pPr>
            <w:r w:rsidRPr="00534E0A">
              <w:rPr>
                <w:rFonts w:ascii="Twinkl" w:hAnsi="Twinkl" w:eastAsia="Times New Roman" w:cstheme="minorHAnsi"/>
                <w:color w:val="000000" w:themeColor="text1"/>
                <w:sz w:val="20"/>
                <w:szCs w:val="20"/>
                <w:lang w:val="en-GB" w:eastAsia="en-GB"/>
              </w:rPr>
              <w:t>3.2.2.b</w:t>
            </w:r>
            <w:r w:rsidRPr="00534E0A">
              <w:rPr>
                <w:rFonts w:ascii="Twinkl" w:hAnsi="Twinkl" w:eastAsia="Times New Roman" w:cstheme="minorHAnsi"/>
                <w:color w:val="000000" w:themeColor="text1"/>
                <w:sz w:val="20"/>
                <w:szCs w:val="20"/>
                <w:lang w:val="en-GB" w:eastAsia="en-GB"/>
              </w:rPr>
              <w:tab/>
            </w:r>
            <w:r w:rsidRPr="00534E0A">
              <w:rPr>
                <w:rFonts w:ascii="Twinkl" w:hAnsi="Twinkl" w:eastAsia="Times New Roman" w:cstheme="minorHAnsi"/>
                <w:color w:val="000000" w:themeColor="text1"/>
                <w:sz w:val="20"/>
                <w:szCs w:val="20"/>
                <w:lang w:val="en-GB" w:eastAsia="en-GB"/>
              </w:rPr>
              <w:t>I can evaluate the advantages and disadvantages of monoclonal antibodies.</w:t>
            </w:r>
          </w:p>
          <w:p w:rsidR="00534E0A" w:rsidP="00534E0A" w:rsidRDefault="00534E0A" w14:paraId="1AB48374"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009C2439" w:rsidP="001307D3" w:rsidRDefault="009C2439" w14:paraId="06A1875D"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p w:rsidRPr="00B02EC1" w:rsidR="00B640C6" w:rsidP="001307D3" w:rsidRDefault="00B640C6" w14:paraId="2DEC4842" w14:textId="34965757">
            <w:pPr>
              <w:shd w:val="clear" w:color="auto" w:fill="FFFFFF"/>
              <w:textAlignment w:val="baseline"/>
              <w:rPr>
                <w:rFonts w:ascii="Twinkl" w:hAnsi="Twinkl" w:eastAsia="Times New Roman" w:cstheme="minorHAnsi"/>
                <w:color w:val="000000" w:themeColor="text1"/>
                <w:sz w:val="20"/>
                <w:szCs w:val="20"/>
                <w:lang w:val="en-GB" w:eastAsia="en-GB"/>
              </w:rPr>
            </w:pPr>
          </w:p>
        </w:tc>
      </w:tr>
      <w:tr w:rsidRPr="00D83AA3" w:rsidR="00BA02B9" w:rsidTr="06D31A91"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lastRenderedPageBreak/>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06D31A91"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p w:rsidRPr="006C5827" w:rsidR="0071084E" w:rsidP="006C5827" w:rsidRDefault="00C2072B" w14:paraId="1E802251" w14:textId="56D3EEBA">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Topic 14 (Health Issues)</w:t>
            </w:r>
          </w:p>
        </w:tc>
      </w:tr>
      <w:tr w:rsidRPr="00D83AA3" w:rsidR="00FD68A4" w:rsidTr="06D31A91"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06D31A91"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141D" w:rsidP="00C40517" w:rsidRDefault="00A6141D" w14:paraId="2843FFDC" w14:textId="77777777">
      <w:r>
        <w:separator/>
      </w:r>
    </w:p>
  </w:endnote>
  <w:endnote w:type="continuationSeparator" w:id="0">
    <w:p w:rsidR="00A6141D" w:rsidP="00C40517" w:rsidRDefault="00A6141D" w14:paraId="562854CB" w14:textId="77777777">
      <w:r>
        <w:continuationSeparator/>
      </w:r>
    </w:p>
  </w:endnote>
  <w:endnote w:type="continuationNotice" w:id="1">
    <w:p w:rsidR="00A6141D" w:rsidRDefault="00A6141D" w14:paraId="7C8B1F6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141D" w:rsidP="00C40517" w:rsidRDefault="00A6141D" w14:paraId="5C3A2246" w14:textId="77777777">
      <w:r>
        <w:separator/>
      </w:r>
    </w:p>
  </w:footnote>
  <w:footnote w:type="continuationSeparator" w:id="0">
    <w:p w:rsidR="00A6141D" w:rsidP="00C40517" w:rsidRDefault="00A6141D" w14:paraId="20312817" w14:textId="77777777">
      <w:r>
        <w:continuationSeparator/>
      </w:r>
    </w:p>
  </w:footnote>
  <w:footnote w:type="continuationNotice" w:id="1">
    <w:p w:rsidR="00A6141D" w:rsidRDefault="00A6141D" w14:paraId="3F0D3186"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731C"/>
    <w:rsid w:val="00027922"/>
    <w:rsid w:val="00027B37"/>
    <w:rsid w:val="0003673C"/>
    <w:rsid w:val="00040A4D"/>
    <w:rsid w:val="00045D26"/>
    <w:rsid w:val="00045FE2"/>
    <w:rsid w:val="00050AF4"/>
    <w:rsid w:val="00053D58"/>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165"/>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17535"/>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2D67"/>
    <w:rsid w:val="001B600C"/>
    <w:rsid w:val="001C02FD"/>
    <w:rsid w:val="001C1E29"/>
    <w:rsid w:val="001C2B59"/>
    <w:rsid w:val="001E5920"/>
    <w:rsid w:val="001E61A4"/>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6141"/>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0D30"/>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4BEB"/>
    <w:rsid w:val="0035529F"/>
    <w:rsid w:val="00356661"/>
    <w:rsid w:val="0036005A"/>
    <w:rsid w:val="00361053"/>
    <w:rsid w:val="0036480A"/>
    <w:rsid w:val="00365F74"/>
    <w:rsid w:val="00371884"/>
    <w:rsid w:val="00371F54"/>
    <w:rsid w:val="003740DC"/>
    <w:rsid w:val="003757D5"/>
    <w:rsid w:val="00380E4A"/>
    <w:rsid w:val="00380FED"/>
    <w:rsid w:val="00387EAA"/>
    <w:rsid w:val="00391903"/>
    <w:rsid w:val="003A43AE"/>
    <w:rsid w:val="003A5231"/>
    <w:rsid w:val="003A6607"/>
    <w:rsid w:val="003A7A90"/>
    <w:rsid w:val="003B2F64"/>
    <w:rsid w:val="003B4C75"/>
    <w:rsid w:val="003B4EB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4E0A"/>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1D6D"/>
    <w:rsid w:val="005F673C"/>
    <w:rsid w:val="005F6E3F"/>
    <w:rsid w:val="005F7CF3"/>
    <w:rsid w:val="0060606C"/>
    <w:rsid w:val="006079E4"/>
    <w:rsid w:val="006208F3"/>
    <w:rsid w:val="00625D91"/>
    <w:rsid w:val="00632AAE"/>
    <w:rsid w:val="00640E96"/>
    <w:rsid w:val="00647530"/>
    <w:rsid w:val="00654B96"/>
    <w:rsid w:val="00663AD7"/>
    <w:rsid w:val="00665355"/>
    <w:rsid w:val="00667C8B"/>
    <w:rsid w:val="00672C8A"/>
    <w:rsid w:val="00676160"/>
    <w:rsid w:val="0067642A"/>
    <w:rsid w:val="00677C96"/>
    <w:rsid w:val="00680622"/>
    <w:rsid w:val="00680E0A"/>
    <w:rsid w:val="00681FC1"/>
    <w:rsid w:val="006823DC"/>
    <w:rsid w:val="0068590B"/>
    <w:rsid w:val="00687209"/>
    <w:rsid w:val="00691174"/>
    <w:rsid w:val="00692DA2"/>
    <w:rsid w:val="0069327B"/>
    <w:rsid w:val="006A0F9B"/>
    <w:rsid w:val="006A74E0"/>
    <w:rsid w:val="006B13EB"/>
    <w:rsid w:val="006B672F"/>
    <w:rsid w:val="006B6DED"/>
    <w:rsid w:val="006C45ED"/>
    <w:rsid w:val="006C5827"/>
    <w:rsid w:val="006D13B2"/>
    <w:rsid w:val="006D2E0C"/>
    <w:rsid w:val="006D2EDB"/>
    <w:rsid w:val="006D58AC"/>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A74D8"/>
    <w:rsid w:val="007B4DAC"/>
    <w:rsid w:val="007B5C99"/>
    <w:rsid w:val="007B5E26"/>
    <w:rsid w:val="007B6BC5"/>
    <w:rsid w:val="007C023B"/>
    <w:rsid w:val="007C1A6F"/>
    <w:rsid w:val="007C5049"/>
    <w:rsid w:val="007C72A1"/>
    <w:rsid w:val="007D1C6B"/>
    <w:rsid w:val="007D2262"/>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3FA4"/>
    <w:rsid w:val="008947B7"/>
    <w:rsid w:val="00896BE9"/>
    <w:rsid w:val="008A0298"/>
    <w:rsid w:val="008A48F5"/>
    <w:rsid w:val="008A5A2D"/>
    <w:rsid w:val="008A66D5"/>
    <w:rsid w:val="008D0EF9"/>
    <w:rsid w:val="008D68B9"/>
    <w:rsid w:val="008E1576"/>
    <w:rsid w:val="008E3198"/>
    <w:rsid w:val="008E39E3"/>
    <w:rsid w:val="008F19C0"/>
    <w:rsid w:val="008F24EF"/>
    <w:rsid w:val="008F41DB"/>
    <w:rsid w:val="008F4368"/>
    <w:rsid w:val="00901BC7"/>
    <w:rsid w:val="009051FE"/>
    <w:rsid w:val="009112FF"/>
    <w:rsid w:val="00913556"/>
    <w:rsid w:val="00914681"/>
    <w:rsid w:val="009168E8"/>
    <w:rsid w:val="00920504"/>
    <w:rsid w:val="009217BA"/>
    <w:rsid w:val="0092399F"/>
    <w:rsid w:val="00923DB2"/>
    <w:rsid w:val="00930F83"/>
    <w:rsid w:val="0093170E"/>
    <w:rsid w:val="00932796"/>
    <w:rsid w:val="009412D9"/>
    <w:rsid w:val="00943F41"/>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6141D"/>
    <w:rsid w:val="00A67083"/>
    <w:rsid w:val="00A70565"/>
    <w:rsid w:val="00A70C83"/>
    <w:rsid w:val="00A71408"/>
    <w:rsid w:val="00A730FB"/>
    <w:rsid w:val="00A771EF"/>
    <w:rsid w:val="00A80325"/>
    <w:rsid w:val="00A8069A"/>
    <w:rsid w:val="00A84A62"/>
    <w:rsid w:val="00A87440"/>
    <w:rsid w:val="00A9237E"/>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E21A5"/>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40C6"/>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5107D"/>
    <w:rsid w:val="00D61612"/>
    <w:rsid w:val="00D63445"/>
    <w:rsid w:val="00D701C1"/>
    <w:rsid w:val="00D716A8"/>
    <w:rsid w:val="00D71E4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DF7D74"/>
    <w:rsid w:val="00E01778"/>
    <w:rsid w:val="00E0315D"/>
    <w:rsid w:val="00E06D12"/>
    <w:rsid w:val="00E07B86"/>
    <w:rsid w:val="00E07E32"/>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1562"/>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0735"/>
    <w:rsid w:val="00EE4D0F"/>
    <w:rsid w:val="00EE618D"/>
    <w:rsid w:val="00EF057E"/>
    <w:rsid w:val="00EF1711"/>
    <w:rsid w:val="00EF1870"/>
    <w:rsid w:val="00EF3C2C"/>
    <w:rsid w:val="00EF59BF"/>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68A4"/>
    <w:rsid w:val="00FE0F26"/>
    <w:rsid w:val="00FE111E"/>
    <w:rsid w:val="00FE382D"/>
    <w:rsid w:val="00FF5C39"/>
    <w:rsid w:val="06D31A91"/>
    <w:rsid w:val="08B6480A"/>
    <w:rsid w:val="768FF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12103-589C-423C-BEB5-0C6D9C61E7F0}"/>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S.Pannell</cp:lastModifiedBy>
  <cp:revision>44</cp:revision>
  <cp:lastPrinted>2022-01-21T12:35:00Z</cp:lastPrinted>
  <dcterms:created xsi:type="dcterms:W3CDTF">2022-04-05T15:22:00Z</dcterms:created>
  <dcterms:modified xsi:type="dcterms:W3CDTF">2023-06-06T09:50:24Z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