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728C5742" w14:paraId="491C8FA4" w14:textId="1828FA99">
        <w:trPr>
          <w:trHeight w:val="231"/>
        </w:trPr>
        <w:tc>
          <w:tcPr>
            <w:tcW w:w="11052" w:type="dxa"/>
            <w:gridSpan w:val="2"/>
            <w:tcMar/>
            <w:vAlign w:val="center"/>
          </w:tcPr>
          <w:p w:rsidRPr="00D83AA3" w:rsidR="00E741AE" w:rsidP="728C5742" w:rsidRDefault="00F72BA4" w14:paraId="4E3A8083" w14:textId="56372C55">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728C5742" w:rsidR="002818A9">
              <w:rPr>
                <w:rFonts w:ascii="Twinkl" w:hAnsi="Twinkl"/>
                <w:b w:val="1"/>
                <w:bCs w:val="1"/>
                <w:sz w:val="36"/>
                <w:szCs w:val="36"/>
              </w:rPr>
              <w:t xml:space="preserve">YEAR </w:t>
            </w:r>
            <w:r w:rsidRPr="728C5742" w:rsidR="001A3057">
              <w:rPr>
                <w:rFonts w:ascii="Twinkl" w:hAnsi="Twinkl"/>
                <w:b w:val="1"/>
                <w:bCs w:val="1"/>
                <w:sz w:val="36"/>
                <w:szCs w:val="36"/>
              </w:rPr>
              <w:t>____</w:t>
            </w:r>
            <w:r w:rsidRPr="728C5742" w:rsidR="00175C24">
              <w:rPr>
                <w:rFonts w:ascii="Twinkl" w:hAnsi="Twinkl"/>
                <w:b w:val="1"/>
                <w:bCs w:val="1"/>
                <w:sz w:val="36"/>
                <w:szCs w:val="36"/>
              </w:rPr>
              <w:t xml:space="preserve"> </w:t>
            </w:r>
            <w:r w:rsidRPr="728C5742" w:rsidR="00254CD3">
              <w:rPr>
                <w:rFonts w:ascii="Twinkl" w:hAnsi="Twinkl"/>
                <w:b w:val="1"/>
                <w:bCs w:val="1"/>
                <w:sz w:val="36"/>
                <w:szCs w:val="36"/>
              </w:rPr>
              <w:t>20</w:t>
            </w:r>
            <w:r w:rsidRPr="728C5742" w:rsidR="00535341">
              <w:rPr>
                <w:rFonts w:ascii="Twinkl" w:hAnsi="Twinkl"/>
                <w:b w:val="1"/>
                <w:bCs w:val="1"/>
                <w:sz w:val="36"/>
                <w:szCs w:val="36"/>
              </w:rPr>
              <w:t>2</w:t>
            </w:r>
            <w:r w:rsidRPr="728C5742" w:rsidR="2E27898D">
              <w:rPr>
                <w:rFonts w:ascii="Twinkl" w:hAnsi="Twinkl"/>
                <w:b w:val="1"/>
                <w:bCs w:val="1"/>
                <w:sz w:val="36"/>
                <w:szCs w:val="36"/>
              </w:rPr>
              <w:t>3</w:t>
            </w:r>
            <w:r w:rsidRPr="728C5742" w:rsidR="00BE317D">
              <w:rPr>
                <w:rFonts w:ascii="Twinkl" w:hAnsi="Twinkl"/>
                <w:b w:val="1"/>
                <w:bCs w:val="1"/>
                <w:sz w:val="36"/>
                <w:szCs w:val="36"/>
              </w:rPr>
              <w:t>-202</w:t>
            </w:r>
            <w:r w:rsidRPr="728C5742" w:rsidR="31FA441E">
              <w:rPr>
                <w:rFonts w:ascii="Twinkl" w:hAnsi="Twinkl"/>
                <w:b w:val="1"/>
                <w:bCs w:val="1"/>
                <w:sz w:val="36"/>
                <w:szCs w:val="36"/>
              </w:rPr>
              <w:t>4</w:t>
            </w:r>
            <w:r w:rsidRPr="728C5742" w:rsidR="001A3057">
              <w:rPr>
                <w:rFonts w:ascii="Twinkl" w:hAnsi="Twinkl"/>
                <w:b w:val="1"/>
                <w:bCs w:val="1"/>
                <w:sz w:val="36"/>
                <w:szCs w:val="36"/>
              </w:rPr>
              <w:t>_____</w:t>
            </w:r>
            <w:r w:rsidRPr="728C5742" w:rsidR="00387EAA">
              <w:rPr>
                <w:rFonts w:ascii="Twinkl" w:hAnsi="Twinkl"/>
                <w:b w:val="1"/>
                <w:bCs w:val="1"/>
                <w:sz w:val="36"/>
                <w:szCs w:val="36"/>
              </w:rPr>
              <w:t xml:space="preserve"> TERM</w:t>
            </w:r>
            <w:r w:rsidRPr="728C5742" w:rsidR="00786FF1">
              <w:rPr>
                <w:rFonts w:ascii="Twinkl" w:hAnsi="Twinkl"/>
                <w:b w:val="1"/>
                <w:bCs w:val="1"/>
                <w:sz w:val="36"/>
                <w:szCs w:val="36"/>
              </w:rPr>
              <w:t xml:space="preserve">: </w:t>
            </w:r>
            <w:r w:rsidRPr="728C5742" w:rsidR="00FF0017">
              <w:rPr>
                <w:rFonts w:ascii="Twinkl" w:hAnsi="Twinkl"/>
                <w:b w:val="1"/>
                <w:bCs w:val="1"/>
                <w:sz w:val="36"/>
                <w:szCs w:val="36"/>
              </w:rPr>
              <w:t>Sp</w:t>
            </w:r>
            <w:r w:rsidRPr="728C5742" w:rsidR="005D4AE9">
              <w:rPr>
                <w:rFonts w:ascii="Twinkl" w:hAnsi="Twinkl"/>
                <w:b w:val="1"/>
                <w:bCs w:val="1"/>
                <w:sz w:val="36"/>
                <w:szCs w:val="36"/>
              </w:rPr>
              <w:t>ring 1/</w:t>
            </w:r>
            <w:r w:rsidRPr="728C5742" w:rsidR="696F46BF">
              <w:rPr>
                <w:rFonts w:ascii="Twinkl" w:hAnsi="Twinkl"/>
                <w:b w:val="1"/>
                <w:bCs w:val="1"/>
                <w:sz w:val="36"/>
                <w:szCs w:val="36"/>
              </w:rPr>
              <w:t>2 (Y11)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11514F63">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5D4AE9">
              <w:rPr>
                <w:rFonts w:ascii="Twinkl" w:hAnsi="Twinkl"/>
                <w:b/>
                <w:sz w:val="32"/>
                <w:szCs w:val="32"/>
              </w:rPr>
              <w:t>Classification and Evolution</w:t>
            </w:r>
          </w:p>
        </w:tc>
      </w:tr>
      <w:tr w:rsidRPr="00D83AA3" w:rsidR="001A3057" w:rsidTr="728C5742"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7CAA7B9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280D61">
              <w:rPr>
                <w:rFonts w:cstheme="minorHAnsi"/>
                <w:b/>
                <w:bCs/>
                <w:sz w:val="20"/>
                <w:szCs w:val="20"/>
              </w:rPr>
              <w:t>Evolution</w:t>
            </w:r>
            <w:r w:rsidR="00C441C4">
              <w:rPr>
                <w:rFonts w:cstheme="minorHAnsi"/>
                <w:b/>
                <w:bCs/>
                <w:sz w:val="20"/>
                <w:szCs w:val="20"/>
              </w:rPr>
              <w:t xml:space="preserve"> and KS4 Topic</w:t>
            </w:r>
            <w:r w:rsidR="00EA76BF">
              <w:rPr>
                <w:rFonts w:cstheme="minorHAnsi"/>
                <w:b/>
                <w:bCs/>
                <w:sz w:val="20"/>
                <w:szCs w:val="20"/>
              </w:rPr>
              <w:t xml:space="preserve">s </w:t>
            </w:r>
            <w:r w:rsidR="00A94A42">
              <w:rPr>
                <w:rFonts w:cstheme="minorHAnsi"/>
                <w:b/>
                <w:bCs/>
                <w:sz w:val="20"/>
                <w:szCs w:val="20"/>
              </w:rPr>
              <w:t xml:space="preserve">3 Environment, </w:t>
            </w:r>
            <w:r w:rsidR="00EA76BF">
              <w:rPr>
                <w:rFonts w:cstheme="minorHAnsi"/>
                <w:b/>
                <w:bCs/>
                <w:sz w:val="20"/>
                <w:szCs w:val="20"/>
              </w:rPr>
              <w:t xml:space="preserve">5 DNA &amp; Inheritance, 6 Cell division, </w:t>
            </w:r>
            <w:r w:rsidR="00A94A42">
              <w:rPr>
                <w:rFonts w:cstheme="minorHAnsi"/>
                <w:b/>
                <w:bCs/>
                <w:sz w:val="20"/>
                <w:szCs w:val="20"/>
              </w:rPr>
              <w:t xml:space="preserve">8 Biodiversity, </w:t>
            </w:r>
            <w:r w:rsidR="00EA76BF">
              <w:rPr>
                <w:rFonts w:cstheme="minorHAnsi"/>
                <w:b/>
                <w:bCs/>
                <w:sz w:val="20"/>
                <w:szCs w:val="20"/>
              </w:rPr>
              <w:t>12 Reproduction &amp; Genetic Engineering</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5D734E" w:rsidR="005D734E" w:rsidP="005D734E" w:rsidRDefault="005D734E" w14:paraId="25FF93A0"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5D734E">
              <w:rPr>
                <w:rFonts w:ascii="Twinkl" w:hAnsi="Twinkl" w:eastAsia="Times New Roman" w:cs="Calibri"/>
                <w:color w:val="000000"/>
                <w:sz w:val="20"/>
                <w:szCs w:val="20"/>
                <w:lang w:val="en-GB" w:eastAsia="fr-FR"/>
              </w:rPr>
              <w:t>genetic variation in populations of a species</w:t>
            </w:r>
          </w:p>
          <w:p w:rsidR="005D734E" w:rsidP="005D734E" w:rsidRDefault="005D734E" w14:paraId="1C7B6C6B" w14:textId="4A69453C">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5D734E">
              <w:rPr>
                <w:rFonts w:ascii="Twinkl" w:hAnsi="Twinkl" w:eastAsia="Times New Roman" w:cs="Calibri"/>
                <w:color w:val="000000"/>
                <w:sz w:val="20"/>
                <w:szCs w:val="20"/>
                <w:lang w:val="en-GB" w:eastAsia="fr-FR"/>
              </w:rPr>
              <w:t xml:space="preserve">the process of natural selection leading to evolution </w:t>
            </w:r>
          </w:p>
          <w:p w:rsidRPr="006D62C2" w:rsidR="006D62C2" w:rsidP="005D734E" w:rsidRDefault="006D62C2" w14:paraId="03ECC50C" w14:textId="375394AC">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D62C2">
              <w:rPr>
                <w:rFonts w:ascii="Twinkl" w:hAnsi="Twinkl" w:eastAsia="Times New Roman" w:cs="Calibri"/>
                <w:color w:val="000000"/>
                <w:sz w:val="20"/>
                <w:szCs w:val="20"/>
                <w:lang w:val="en-GB" w:eastAsia="fr-FR"/>
              </w:rPr>
              <w:t>the evidence for evolution</w:t>
            </w:r>
          </w:p>
          <w:p w:rsidRPr="006D62C2" w:rsidR="006D62C2" w:rsidP="006D62C2" w:rsidRDefault="006D62C2" w14:paraId="2D500BBE" w14:textId="1176D1C4">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D62C2">
              <w:rPr>
                <w:rFonts w:ascii="Twinkl" w:hAnsi="Twinkl" w:eastAsia="Times New Roman" w:cs="Calibri"/>
                <w:color w:val="000000"/>
                <w:sz w:val="20"/>
                <w:szCs w:val="20"/>
                <w:lang w:val="en-GB" w:eastAsia="fr-FR"/>
              </w:rPr>
              <w:t>developments in biology affecting classification</w:t>
            </w:r>
          </w:p>
          <w:p w:rsidRPr="006D62C2" w:rsidR="006D62C2" w:rsidP="006D62C2" w:rsidRDefault="006D62C2" w14:paraId="72DF3C35" w14:textId="15004FE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D62C2">
              <w:rPr>
                <w:rFonts w:ascii="Twinkl" w:hAnsi="Twinkl" w:eastAsia="Times New Roman" w:cs="Calibri"/>
                <w:color w:val="000000"/>
                <w:sz w:val="20"/>
                <w:szCs w:val="20"/>
                <w:lang w:val="en-GB" w:eastAsia="fr-FR"/>
              </w:rPr>
              <w:t>the importance of selective breeding of plants and animals in agriculture</w:t>
            </w:r>
          </w:p>
          <w:p w:rsidRPr="006D62C2" w:rsidR="006E2D75" w:rsidP="006D62C2" w:rsidRDefault="006D62C2" w14:paraId="489746C4" w14:textId="3157F92B">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6D62C2">
              <w:rPr>
                <w:rFonts w:ascii="Twinkl" w:hAnsi="Twinkl" w:eastAsia="Times New Roman" w:cs="Calibri"/>
                <w:color w:val="000000"/>
                <w:sz w:val="20"/>
                <w:szCs w:val="20"/>
                <w:lang w:val="en-GB" w:eastAsia="fr-FR"/>
              </w:rPr>
              <w:t>the uses of modern biotechnology including gene technology; some of the</w:t>
            </w:r>
            <w:r>
              <w:rPr>
                <w:rFonts w:ascii="Twinkl" w:hAnsi="Twinkl" w:eastAsia="Times New Roman" w:cs="Calibri"/>
                <w:color w:val="000000"/>
                <w:sz w:val="20"/>
                <w:szCs w:val="20"/>
                <w:lang w:val="en-GB" w:eastAsia="fr-FR"/>
              </w:rPr>
              <w:t xml:space="preserve"> </w:t>
            </w:r>
            <w:r w:rsidRPr="006D62C2">
              <w:rPr>
                <w:rFonts w:ascii="Twinkl" w:hAnsi="Twinkl" w:eastAsia="Times New Roman" w:cs="Calibri"/>
                <w:color w:val="000000"/>
                <w:sz w:val="20"/>
                <w:szCs w:val="20"/>
                <w:lang w:val="en-GB" w:eastAsia="fr-FR"/>
              </w:rPr>
              <w:t>practical and ethical considerations of modern biotechnology</w:t>
            </w:r>
          </w:p>
        </w:tc>
      </w:tr>
      <w:tr w:rsidRPr="00D83AA3" w:rsidR="001A3057" w:rsidTr="728C5742"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728C5742"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5D734E" w:rsidR="00A457A1" w:rsidP="00A457A1" w:rsidRDefault="00A457A1" w14:paraId="648D2CEE" w14:textId="06AB6461">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5D734E">
              <w:rPr>
                <w:rFonts w:ascii="Twinkl" w:hAnsi="Twinkl"/>
                <w:bCs/>
                <w:sz w:val="20"/>
                <w:szCs w:val="20"/>
              </w:rPr>
              <w:t>The theory of evolution by natural selection</w:t>
            </w:r>
          </w:p>
          <w:p w:rsidRPr="00B02EC1" w:rsidR="00A457A1" w:rsidP="00A457A1" w:rsidRDefault="00A457A1" w14:paraId="17018E3D" w14:textId="36692681">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5D734E">
              <w:rPr>
                <w:rFonts w:ascii="Twinkl" w:hAnsi="Twinkl" w:eastAsia="Times New Roman" w:cs="Arial"/>
                <w:color w:val="000000"/>
                <w:sz w:val="20"/>
                <w:szCs w:val="20"/>
                <w:lang w:eastAsia="en-GB"/>
              </w:rPr>
              <w:t xml:space="preserve">The theory of evolution by natural selection, </w:t>
            </w:r>
            <w:r w:rsidR="001132D0">
              <w:rPr>
                <w:rFonts w:ascii="Twinkl" w:hAnsi="Twinkl" w:eastAsia="Times New Roman" w:cs="Arial"/>
                <w:color w:val="000000"/>
                <w:sz w:val="20"/>
                <w:szCs w:val="20"/>
                <w:lang w:eastAsia="en-GB"/>
              </w:rPr>
              <w:t>resistance to the development of evolutionary theory</w:t>
            </w:r>
          </w:p>
          <w:p w:rsidRPr="00FF0017" w:rsidR="00A50387" w:rsidP="00A457A1" w:rsidRDefault="00A50387" w14:paraId="46F64BFE" w14:textId="1AA417E2">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FF0017">
              <w:rPr>
                <w:rFonts w:ascii="Twinkl" w:hAnsi="Twinkl" w:cs="Arial"/>
                <w:bCs/>
                <w:sz w:val="20"/>
                <w:szCs w:val="20"/>
              </w:rPr>
              <w:t xml:space="preserve"> </w:t>
            </w:r>
          </w:p>
        </w:tc>
      </w:tr>
      <w:tr w:rsidRPr="00D83AA3" w:rsidR="000E05F4" w:rsidTr="728C5742"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2B1A53" w:rsidRDefault="002B1A53" w14:paraId="4A0E0131" w14:textId="72143570">
            <w:pPr>
              <w:autoSpaceDE w:val="0"/>
              <w:autoSpaceDN w:val="0"/>
              <w:adjustRightInd w:val="0"/>
              <w:rPr>
                <w:rFonts w:ascii="Twinkl" w:hAnsi="Twinkl"/>
                <w:bCs/>
                <w:sz w:val="20"/>
                <w:szCs w:val="20"/>
              </w:rPr>
            </w:pPr>
            <w:r>
              <w:rPr>
                <w:rFonts w:ascii="Twinkl" w:hAnsi="Twinkl"/>
                <w:bCs/>
                <w:sz w:val="20"/>
                <w:szCs w:val="20"/>
              </w:rPr>
              <w:t xml:space="preserve">Skills developed in this topic include order of magnitude calculations, interpretation of phylogenetic (evolutionary) trees, </w:t>
            </w:r>
          </w:p>
        </w:tc>
      </w:tr>
      <w:tr w:rsidRPr="00D83AA3" w:rsidR="00E8717B" w:rsidTr="728C5742"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01DFF496">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723EB2">
              <w:rPr>
                <w:rFonts w:ascii="Twinkl" w:hAnsi="Twinkl"/>
                <w:bCs/>
                <w:sz w:val="20"/>
                <w:szCs w:val="20"/>
              </w:rPr>
              <w:t>evolution, selection,</w:t>
            </w:r>
            <w:r w:rsidR="00F56B92">
              <w:rPr>
                <w:rFonts w:ascii="Twinkl" w:hAnsi="Twinkl"/>
                <w:bCs/>
                <w:sz w:val="20"/>
                <w:szCs w:val="20"/>
              </w:rPr>
              <w:t xml:space="preserve"> </w:t>
            </w:r>
            <w:r w:rsidR="003C0E66">
              <w:rPr>
                <w:rFonts w:ascii="Twinkl" w:hAnsi="Twinkl"/>
                <w:bCs/>
                <w:sz w:val="20"/>
                <w:szCs w:val="20"/>
              </w:rPr>
              <w:t xml:space="preserve">selective breeding, </w:t>
            </w:r>
            <w:r w:rsidR="00F56B92">
              <w:rPr>
                <w:rFonts w:ascii="Twinkl" w:hAnsi="Twinkl"/>
                <w:bCs/>
                <w:sz w:val="20"/>
                <w:szCs w:val="20"/>
              </w:rPr>
              <w:t>bacteria, extinction, fossil</w:t>
            </w:r>
          </w:p>
          <w:p w:rsidRPr="00723EB2" w:rsidR="00932796" w:rsidP="00A457A1" w:rsidRDefault="00962F1D" w14:paraId="637F8A40" w14:textId="304B56DD">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723EB2">
              <w:rPr>
                <w:rFonts w:ascii="Twinkl" w:hAnsi="Twinkl"/>
                <w:bCs/>
                <w:sz w:val="20"/>
                <w:szCs w:val="20"/>
              </w:rPr>
              <w:t>natural selection</w:t>
            </w:r>
            <w:r w:rsidR="004764EC">
              <w:rPr>
                <w:rFonts w:ascii="Twinkl" w:hAnsi="Twinkl"/>
                <w:bCs/>
                <w:sz w:val="20"/>
                <w:szCs w:val="20"/>
              </w:rPr>
              <w:t xml:space="preserve">, </w:t>
            </w:r>
            <w:r w:rsidR="00F56B92">
              <w:rPr>
                <w:rFonts w:ascii="Twinkl" w:hAnsi="Twinkl"/>
                <w:bCs/>
                <w:sz w:val="20"/>
                <w:szCs w:val="20"/>
              </w:rPr>
              <w:t xml:space="preserve">mutation, </w:t>
            </w:r>
            <w:r w:rsidR="007B7C53">
              <w:rPr>
                <w:rFonts w:ascii="Twinkl" w:hAnsi="Twinkl"/>
                <w:bCs/>
                <w:sz w:val="20"/>
                <w:szCs w:val="20"/>
              </w:rPr>
              <w:t>extremophile, classification, kingdom, domain</w:t>
            </w:r>
            <w:r w:rsidR="002B1A53">
              <w:rPr>
                <w:rFonts w:ascii="Twinkl" w:hAnsi="Twinkl"/>
                <w:bCs/>
                <w:sz w:val="20"/>
                <w:szCs w:val="20"/>
              </w:rPr>
              <w:t>, antibiotic resistance</w:t>
            </w:r>
            <w:r w:rsidR="007B7C53">
              <w:rPr>
                <w:rFonts w:ascii="Twinkl" w:hAnsi="Twinkl"/>
                <w:bCs/>
                <w:sz w:val="20"/>
                <w:szCs w:val="20"/>
              </w:rPr>
              <w:t xml:space="preserve">, </w:t>
            </w:r>
            <w:r w:rsidRPr="00E94B99" w:rsidR="007B7C53">
              <w:rPr>
                <w:rFonts w:ascii="Twinkl" w:hAnsi="Twinkl"/>
                <w:bCs/>
                <w:i/>
                <w:iCs/>
                <w:sz w:val="20"/>
                <w:szCs w:val="20"/>
              </w:rPr>
              <w:t>Bio only: speciation,</w:t>
            </w:r>
            <w:r w:rsidR="007B7C53">
              <w:rPr>
                <w:rFonts w:ascii="Twinkl" w:hAnsi="Twinkl"/>
                <w:bCs/>
                <w:sz w:val="20"/>
                <w:szCs w:val="20"/>
              </w:rPr>
              <w:t xml:space="preserve"> </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728C5742"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5867CE08">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w:t>
            </w:r>
          </w:p>
        </w:tc>
      </w:tr>
      <w:tr w:rsidRPr="00D83AA3" w:rsidR="00BA02B9" w:rsidTr="728C5742"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728C5742"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28C5742"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B806C8" w:rsidR="00B806C8" w:rsidP="00B806C8" w:rsidRDefault="00B806C8" w14:paraId="04CDC6D5" w14:textId="7D68C31F">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6.3.4.</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some sources of evidence for evolution</w:t>
            </w:r>
          </w:p>
          <w:p w:rsidRPr="00B806C8" w:rsidR="00B806C8" w:rsidP="00B806C8" w:rsidRDefault="00B806C8" w14:paraId="65517C98" w14:textId="5A8E5AF1">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6.3.5.</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what fossils are, how they are formed and what we can learn from them</w:t>
            </w:r>
          </w:p>
          <w:p w:rsidRPr="00B806C8" w:rsidR="00B806C8" w:rsidP="00B806C8" w:rsidRDefault="00B806C8" w14:paraId="0225BB4C" w14:textId="18395957">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lastRenderedPageBreak/>
              <w:t>6.3.5.b I can explain why there are few traces of the early life forms, and the consequences of this in terms of our understanding of how life began</w:t>
            </w:r>
          </w:p>
          <w:p w:rsidRPr="00B806C8" w:rsidR="00B806C8" w:rsidP="00B806C8" w:rsidRDefault="00B806C8" w14:paraId="7C8F118C" w14:textId="09A6509F">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6.3.6.</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some of the causes of extinction</w:t>
            </w:r>
          </w:p>
          <w:p w:rsidRPr="00B806C8" w:rsidR="00B806C8" w:rsidP="00B806C8" w:rsidRDefault="00B806C8" w14:paraId="17A117E2" w14:textId="70CD4809">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6.3.7.</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how antibiotic-resistant strains of bacteria can arise and spread</w:t>
            </w:r>
          </w:p>
          <w:p w:rsidRPr="00B806C8" w:rsidR="00B806C8" w:rsidP="00B806C8" w:rsidRDefault="00B806C8" w14:paraId="1A1DF26D" w14:textId="660F25A7">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6.2.1.</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w:t>
            </w:r>
            <w:r w:rsidRPr="00371187">
              <w:rPr>
                <w:rFonts w:ascii="Twinkl" w:hAnsi="Twinkl" w:eastAsia="Times New Roman" w:cstheme="minorHAnsi"/>
                <w:color w:val="FF0000"/>
                <w:sz w:val="20"/>
                <w:szCs w:val="20"/>
                <w:lang w:val="en-GB" w:eastAsia="en-GB"/>
              </w:rPr>
              <w:t>I can describe what variation is and how it can be caused</w:t>
            </w:r>
          </w:p>
          <w:p w:rsidRPr="00371187" w:rsidR="00B806C8" w:rsidP="00B806C8" w:rsidRDefault="00B806C8" w14:paraId="09E9F15B" w14:textId="05A1F403">
            <w:pPr>
              <w:shd w:val="clear" w:color="auto" w:fill="FFFFFF"/>
              <w:textAlignment w:val="baseline"/>
              <w:rPr>
                <w:rFonts w:ascii="Twinkl" w:hAnsi="Twinkl" w:eastAsia="Times New Roman" w:cstheme="minorHAnsi"/>
                <w:color w:val="FF0000"/>
                <w:sz w:val="20"/>
                <w:szCs w:val="20"/>
                <w:lang w:val="en-GB" w:eastAsia="en-GB"/>
              </w:rPr>
            </w:pPr>
            <w:r w:rsidRPr="00B806C8">
              <w:rPr>
                <w:rFonts w:ascii="Twinkl" w:hAnsi="Twinkl" w:eastAsia="Times New Roman" w:cstheme="minorHAnsi"/>
                <w:color w:val="000000" w:themeColor="text1"/>
                <w:sz w:val="20"/>
                <w:szCs w:val="20"/>
                <w:lang w:val="en-GB" w:eastAsia="en-GB"/>
              </w:rPr>
              <w:t xml:space="preserve">6.2.1.b </w:t>
            </w:r>
            <w:r w:rsidRPr="00371187">
              <w:rPr>
                <w:rFonts w:ascii="Twinkl" w:hAnsi="Twinkl" w:eastAsia="Times New Roman" w:cstheme="minorHAnsi"/>
                <w:color w:val="FF0000"/>
                <w:sz w:val="20"/>
                <w:szCs w:val="20"/>
                <w:lang w:val="en-GB" w:eastAsia="en-GB"/>
              </w:rPr>
              <w:t>I can describe mutations and explain their influence on phenotype and changes in a species</w:t>
            </w:r>
          </w:p>
          <w:p w:rsidRPr="00B806C8" w:rsidR="00B806C8" w:rsidP="00B806C8" w:rsidRDefault="00B806C8" w14:paraId="6EDCD48C" w14:textId="69110E6B">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6.2.2.</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explain the theory of evolution by natural selection</w:t>
            </w:r>
          </w:p>
          <w:p w:rsidRPr="00B806C8" w:rsidR="00B806C8" w:rsidP="00B806C8" w:rsidRDefault="00B806C8" w14:paraId="28D2EA4F" w14:textId="4989C625">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6.2.2.b I can describe how new species can be formed</w:t>
            </w:r>
          </w:p>
          <w:p w:rsidRPr="00B806C8" w:rsidR="00B806C8" w:rsidP="00B806C8" w:rsidRDefault="00B806C8" w14:paraId="3E739E75" w14:textId="5C692872">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6.2.3.</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what selective breeding is</w:t>
            </w:r>
          </w:p>
          <w:p w:rsidRPr="00B806C8" w:rsidR="00B806C8" w:rsidP="00B806C8" w:rsidRDefault="00B806C8" w14:paraId="7492CC76" w14:textId="6FF6055E">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6.2.3.b I can explain the process of selective breeding, including examples of desired characteristics and risks associated with selective breeding</w:t>
            </w:r>
          </w:p>
          <w:p w:rsidRPr="00B806C8" w:rsidR="00B806C8" w:rsidP="00B806C8" w:rsidRDefault="00B806C8" w14:paraId="3EBAC287" w14:textId="4490872F">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6.3.7.b I can describe how the emergence of antibiotic-resistant bacteria can be reduced and controlled, to include the limitations of antibiotic development</w:t>
            </w:r>
          </w:p>
          <w:p w:rsidRPr="00B806C8" w:rsidR="00B806C8" w:rsidP="00B806C8" w:rsidRDefault="00B806C8" w14:paraId="1DC59208" w14:textId="27F2BB57">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6.4.1.</w:t>
            </w:r>
            <w:proofErr w:type="spellStart"/>
            <w:r w:rsidRPr="00B806C8">
              <w:rPr>
                <w:rFonts w:ascii="Twinkl" w:hAnsi="Twinkl" w:eastAsia="Times New Roman" w:cstheme="minorHAnsi"/>
                <w:color w:val="000000" w:themeColor="text1"/>
                <w:sz w:val="20"/>
                <w:szCs w:val="20"/>
                <w:lang w:val="en-GB" w:eastAsia="en-GB"/>
              </w:rPr>
              <w:t>a</w:t>
            </w:r>
            <w:proofErr w:type="spellEnd"/>
            <w:r w:rsidRPr="00B806C8">
              <w:rPr>
                <w:rFonts w:ascii="Twinkl" w:hAnsi="Twinkl" w:eastAsia="Times New Roman" w:cstheme="minorHAnsi"/>
                <w:color w:val="000000" w:themeColor="text1"/>
                <w:sz w:val="20"/>
                <w:szCs w:val="20"/>
                <w:lang w:val="en-GB" w:eastAsia="en-GB"/>
              </w:rPr>
              <w:t xml:space="preserve"> I can describe how organisms are named and classified in the Linnaean system</w:t>
            </w:r>
          </w:p>
          <w:p w:rsidRPr="00B806C8" w:rsidR="00B806C8" w:rsidP="00B806C8" w:rsidRDefault="00B806C8" w14:paraId="3F800058" w14:textId="5FE70796">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6.4.1.b I can explain how scientific advances have led to the proposal of new models of classification, including knowledge of the three-domain system</w:t>
            </w:r>
          </w:p>
          <w:p w:rsidRPr="00B806C8" w:rsidR="00B806C8" w:rsidP="00B806C8" w:rsidRDefault="00B806C8" w14:paraId="2C99F5BA" w14:textId="4EDEE48B">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6.4.1.c I can describe and interpret evolutionary trees</w:t>
            </w:r>
          </w:p>
          <w:p w:rsidR="000B3E32" w:rsidP="00B806C8" w:rsidRDefault="00B806C8" w14:paraId="5E03FB52" w14:textId="10FA06D4">
            <w:pPr>
              <w:shd w:val="clear" w:color="auto" w:fill="FFFFFF"/>
              <w:textAlignment w:val="baseline"/>
              <w:rPr>
                <w:rFonts w:ascii="Twinkl" w:hAnsi="Twinkl" w:eastAsia="Times New Roman" w:cstheme="minorHAnsi"/>
                <w:color w:val="000000" w:themeColor="text1"/>
                <w:sz w:val="20"/>
                <w:szCs w:val="20"/>
                <w:lang w:val="en-GB" w:eastAsia="en-GB"/>
              </w:rPr>
            </w:pPr>
            <w:r w:rsidRPr="00B806C8">
              <w:rPr>
                <w:rFonts w:ascii="Twinkl" w:hAnsi="Twinkl" w:eastAsia="Times New Roman" w:cstheme="minorHAnsi"/>
                <w:color w:val="000000" w:themeColor="text1"/>
                <w:sz w:val="20"/>
                <w:szCs w:val="20"/>
                <w:lang w:val="en-GB" w:eastAsia="en-GB"/>
              </w:rPr>
              <w:t>7.1.4.b I can describe what an extremophile is</w:t>
            </w:r>
            <w:r w:rsidRPr="00B806C8">
              <w:rPr>
                <w:rFonts w:ascii="Twinkl" w:hAnsi="Twinkl" w:eastAsia="Times New Roman" w:cstheme="minorHAnsi"/>
                <w:color w:val="000000" w:themeColor="text1"/>
                <w:sz w:val="20"/>
                <w:szCs w:val="20"/>
                <w:lang w:val="en-GB" w:eastAsia="en-GB"/>
              </w:rPr>
              <w:t xml:space="preserve"> </w:t>
            </w:r>
          </w:p>
          <w:p w:rsidR="00B46934" w:rsidP="001307D3" w:rsidRDefault="00B46934" w14:paraId="77081622" w14:textId="5F485D1D">
            <w:pPr>
              <w:shd w:val="clear" w:color="auto" w:fill="FFFFFF"/>
              <w:textAlignment w:val="baseline"/>
              <w:rPr>
                <w:rFonts w:ascii="Twinkl" w:hAnsi="Twinkl" w:eastAsia="Times New Roman" w:cstheme="minorHAnsi"/>
                <w:color w:val="000000" w:themeColor="text1"/>
                <w:sz w:val="20"/>
                <w:szCs w:val="20"/>
                <w:lang w:val="en-GB" w:eastAsia="en-GB"/>
              </w:rPr>
            </w:pPr>
          </w:p>
          <w:p w:rsidRPr="00B46934" w:rsidR="00B46934" w:rsidP="00B46934" w:rsidRDefault="00B46934" w14:paraId="21E94DE1"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B46934">
              <w:rPr>
                <w:rFonts w:ascii="Twinkl" w:hAnsi="Twinkl" w:eastAsia="Times New Roman" w:cstheme="minorHAnsi"/>
                <w:i/>
                <w:iCs/>
                <w:color w:val="000000" w:themeColor="text1"/>
                <w:sz w:val="20"/>
                <w:szCs w:val="20"/>
                <w:lang w:val="en-GB" w:eastAsia="en-GB"/>
              </w:rPr>
              <w:t>6.3.1.a (biology only) I can describe the ideas proposed by Darwin in his theory of natural selection and explain why this theory was only gradually accepted</w:t>
            </w:r>
          </w:p>
          <w:p w:rsidRPr="00B46934" w:rsidR="00B46934" w:rsidP="00B46934" w:rsidRDefault="00B46934" w14:paraId="0E5D73F4"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B46934">
              <w:rPr>
                <w:rFonts w:ascii="Twinkl" w:hAnsi="Twinkl" w:eastAsia="Times New Roman" w:cstheme="minorHAnsi"/>
                <w:i/>
                <w:iCs/>
                <w:color w:val="000000" w:themeColor="text1"/>
                <w:sz w:val="20"/>
                <w:szCs w:val="20"/>
                <w:lang w:val="en-GB" w:eastAsia="en-GB"/>
              </w:rPr>
              <w:t>6.3.1.b (biology only) I can describe other inheritance-based theories that existed (apart from the theory of natural selection), and the problems with these theories</w:t>
            </w:r>
          </w:p>
          <w:p w:rsidRPr="00B46934" w:rsidR="00B46934" w:rsidP="00B46934" w:rsidRDefault="00B46934" w14:paraId="3236087F"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B46934">
              <w:rPr>
                <w:rFonts w:ascii="Twinkl" w:hAnsi="Twinkl" w:eastAsia="Times New Roman" w:cstheme="minorHAnsi"/>
                <w:i/>
                <w:iCs/>
                <w:color w:val="000000" w:themeColor="text1"/>
                <w:sz w:val="20"/>
                <w:szCs w:val="20"/>
                <w:lang w:val="en-GB" w:eastAsia="en-GB"/>
              </w:rPr>
              <w:t>6.3.2.a (biology only) I can describe the work of Alfred Russel Wallace</w:t>
            </w:r>
          </w:p>
          <w:p w:rsidRPr="00B46934" w:rsidR="00B46934" w:rsidP="00B46934" w:rsidRDefault="00B46934" w14:paraId="5DF0B418"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B46934">
              <w:rPr>
                <w:rFonts w:ascii="Twinkl" w:hAnsi="Twinkl" w:eastAsia="Times New Roman" w:cstheme="minorHAnsi"/>
                <w:i/>
                <w:iCs/>
                <w:color w:val="000000" w:themeColor="text1"/>
                <w:sz w:val="20"/>
                <w:szCs w:val="20"/>
                <w:lang w:val="en-GB" w:eastAsia="en-GB"/>
              </w:rPr>
              <w:t>6.3.2.b (biology only) I can explain how new species can be formed</w:t>
            </w:r>
          </w:p>
          <w:p w:rsidRPr="00B46934" w:rsidR="00B46934" w:rsidP="00B46934" w:rsidRDefault="00B46934" w14:paraId="7639F341"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B46934">
              <w:rPr>
                <w:rFonts w:ascii="Twinkl" w:hAnsi="Twinkl" w:eastAsia="Times New Roman" w:cstheme="minorHAnsi"/>
                <w:i/>
                <w:iCs/>
                <w:color w:val="000000" w:themeColor="text1"/>
                <w:sz w:val="20"/>
                <w:szCs w:val="20"/>
                <w:lang w:val="en-GB" w:eastAsia="en-GB"/>
              </w:rPr>
              <w:t>6.3.3.a (biology only) I can describe how our understanding of genetics has developed over time, to include knowledge of Mendel</w:t>
            </w:r>
          </w:p>
          <w:p w:rsidRPr="00B46934" w:rsidR="00B46934" w:rsidP="001307D3" w:rsidRDefault="00B46934" w14:paraId="76291A77"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p>
          <w:p w:rsidRPr="00B02EC1" w:rsidR="009C2439" w:rsidP="001307D3" w:rsidRDefault="009C2439" w14:paraId="2DEC4842" w14:textId="62E49A80">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728C5742"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728C5742"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FF0017" w:rsidRDefault="00FF0017" w14:paraId="1E802251" w14:textId="353DE137">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Extensively at A Level</w:t>
            </w:r>
          </w:p>
        </w:tc>
      </w:tr>
      <w:tr w:rsidRPr="00D83AA3" w:rsidR="00FD68A4" w:rsidTr="728C5742"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728C5742"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7F0"/>
    <w:rsid w:val="00112F5E"/>
    <w:rsid w:val="001132D0"/>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0D61"/>
    <w:rsid w:val="002818A9"/>
    <w:rsid w:val="00284673"/>
    <w:rsid w:val="00285D33"/>
    <w:rsid w:val="00286187"/>
    <w:rsid w:val="002914EE"/>
    <w:rsid w:val="00293A85"/>
    <w:rsid w:val="002B1863"/>
    <w:rsid w:val="002B1A5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71187"/>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0E6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764EC"/>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D4AE9"/>
    <w:rsid w:val="005D734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D62C2"/>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23EB2"/>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B7C53"/>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4A42"/>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34"/>
    <w:rsid w:val="00B4697E"/>
    <w:rsid w:val="00B5259B"/>
    <w:rsid w:val="00B52EFE"/>
    <w:rsid w:val="00B548D7"/>
    <w:rsid w:val="00B5670D"/>
    <w:rsid w:val="00B63408"/>
    <w:rsid w:val="00B676F6"/>
    <w:rsid w:val="00B74564"/>
    <w:rsid w:val="00B7505C"/>
    <w:rsid w:val="00B751E2"/>
    <w:rsid w:val="00B7591C"/>
    <w:rsid w:val="00B75A02"/>
    <w:rsid w:val="00B806C8"/>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27FB"/>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4B99"/>
    <w:rsid w:val="00E97FBC"/>
    <w:rsid w:val="00EA07BB"/>
    <w:rsid w:val="00EA1C80"/>
    <w:rsid w:val="00EA276D"/>
    <w:rsid w:val="00EA616E"/>
    <w:rsid w:val="00EA76BF"/>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56B92"/>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E702B"/>
    <w:rsid w:val="00FF0017"/>
    <w:rsid w:val="00FF5C39"/>
    <w:rsid w:val="2E27898D"/>
    <w:rsid w:val="31FA441E"/>
    <w:rsid w:val="696F46BF"/>
    <w:rsid w:val="728C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F81AFD0A-8107-4C88-9B2E-98E6967BD032}"/>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40</revision>
  <lastPrinted>2022-01-21T12:35:00.0000000Z</lastPrinted>
  <dcterms:created xsi:type="dcterms:W3CDTF">2022-04-05T15:22:00.0000000Z</dcterms:created>
  <dcterms:modified xsi:type="dcterms:W3CDTF">2023-06-06T09:57:08.1237693Z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