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00E741AE" w:rsidRPr="00D83AA3" w14:paraId="491C8FA4" w14:textId="1828FA99" w:rsidTr="00BA45DC">
        <w:trPr>
          <w:trHeight w:val="231"/>
        </w:trPr>
        <w:tc>
          <w:tcPr>
            <w:tcW w:w="11052" w:type="dxa"/>
            <w:gridSpan w:val="2"/>
            <w:vAlign w:val="center"/>
          </w:tcPr>
          <w:p w14:paraId="4E3A8083" w14:textId="4EB71925" w:rsidR="00E741AE" w:rsidRPr="00D83AA3" w:rsidRDefault="00F72BA4" w:rsidP="00B02EC1">
            <w:pPr>
              <w:jc w:val="center"/>
              <w:rPr>
                <w:rFonts w:ascii="Twinkl" w:hAnsi="Twinkl"/>
                <w:b/>
                <w:sz w:val="36"/>
                <w:szCs w:val="40"/>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00D83AA3">
              <w:rPr>
                <w:rFonts w:ascii="Twinkl" w:hAnsi="Twinkl"/>
                <w:b/>
                <w:sz w:val="36"/>
                <w:szCs w:val="40"/>
              </w:rPr>
              <w:t xml:space="preserve">YEAR </w:t>
            </w:r>
            <w:r w:rsidR="001A3057">
              <w:rPr>
                <w:rFonts w:ascii="Twinkl" w:hAnsi="Twinkl"/>
                <w:b/>
                <w:sz w:val="36"/>
                <w:szCs w:val="40"/>
              </w:rPr>
              <w:t>____</w:t>
            </w:r>
            <w:r w:rsidR="00175C24" w:rsidRPr="00D83AA3">
              <w:rPr>
                <w:rFonts w:ascii="Twinkl" w:hAnsi="Twinkl"/>
                <w:b/>
                <w:sz w:val="36"/>
                <w:szCs w:val="40"/>
              </w:rPr>
              <w:t xml:space="preserve"> </w:t>
            </w:r>
            <w:r w:rsidR="00254CD3" w:rsidRPr="00D83AA3">
              <w:rPr>
                <w:rFonts w:ascii="Twinkl" w:hAnsi="Twinkl"/>
                <w:b/>
                <w:sz w:val="36"/>
                <w:szCs w:val="40"/>
              </w:rPr>
              <w:t>20</w:t>
            </w:r>
            <w:r w:rsidR="00535341" w:rsidRPr="00D83AA3">
              <w:rPr>
                <w:rFonts w:ascii="Twinkl" w:hAnsi="Twinkl"/>
                <w:b/>
                <w:sz w:val="36"/>
                <w:szCs w:val="40"/>
              </w:rPr>
              <w:t>2</w:t>
            </w:r>
            <w:r w:rsidR="008361E5">
              <w:rPr>
                <w:rFonts w:ascii="Twinkl" w:hAnsi="Twinkl"/>
                <w:b/>
                <w:sz w:val="36"/>
                <w:szCs w:val="40"/>
              </w:rPr>
              <w:t>3</w:t>
            </w:r>
            <w:r w:rsidR="00BE317D">
              <w:rPr>
                <w:rFonts w:ascii="Twinkl" w:hAnsi="Twinkl"/>
                <w:b/>
                <w:sz w:val="36"/>
                <w:szCs w:val="40"/>
              </w:rPr>
              <w:t>-202</w:t>
            </w:r>
            <w:r w:rsidR="008361E5">
              <w:rPr>
                <w:rFonts w:ascii="Twinkl" w:hAnsi="Twinkl"/>
                <w:b/>
                <w:sz w:val="36"/>
                <w:szCs w:val="40"/>
              </w:rPr>
              <w:t>4</w:t>
            </w:r>
            <w:r w:rsidR="00676160" w:rsidRPr="00D83AA3">
              <w:rPr>
                <w:rFonts w:ascii="Twinkl" w:hAnsi="Twinkl"/>
                <w:b/>
                <w:sz w:val="36"/>
                <w:szCs w:val="40"/>
              </w:rPr>
              <w:t xml:space="preserve"> </w:t>
            </w:r>
            <w:r w:rsidR="001A3057">
              <w:rPr>
                <w:rFonts w:ascii="Twinkl" w:hAnsi="Twinkl"/>
                <w:b/>
                <w:sz w:val="36"/>
                <w:szCs w:val="40"/>
              </w:rPr>
              <w:t>_____</w:t>
            </w:r>
            <w:r w:rsidR="00387EAA" w:rsidRPr="00D83AA3">
              <w:rPr>
                <w:rFonts w:ascii="Twinkl" w:hAnsi="Twinkl"/>
                <w:b/>
                <w:sz w:val="36"/>
                <w:szCs w:val="40"/>
              </w:rPr>
              <w:t xml:space="preserve"> TERM</w:t>
            </w:r>
            <w:r w:rsidR="00786FF1">
              <w:rPr>
                <w:rFonts w:ascii="Twinkl" w:hAnsi="Twinkl"/>
                <w:b/>
                <w:sz w:val="36"/>
                <w:szCs w:val="40"/>
              </w:rPr>
              <w:t>: Autumn 1</w:t>
            </w:r>
          </w:p>
          <w:p w14:paraId="71E97DEA" w14:textId="749FDD06" w:rsidR="00DE37B3" w:rsidRPr="00D83AA3" w:rsidRDefault="00DE37B3" w:rsidP="00B02EC1">
            <w:pPr>
              <w:jc w:val="center"/>
              <w:rPr>
                <w:rFonts w:ascii="Twinkl" w:hAnsi="Twinkl"/>
                <w:b/>
                <w:sz w:val="22"/>
                <w:szCs w:val="22"/>
              </w:rPr>
            </w:pPr>
            <w:r w:rsidRPr="00D83AA3">
              <w:rPr>
                <w:rFonts w:ascii="Twinkl" w:hAnsi="Twinkl"/>
                <w:b/>
                <w:sz w:val="22"/>
                <w:szCs w:val="22"/>
              </w:rPr>
              <w:t xml:space="preserve">‘An ambitious curriculum that meets the needs of </w:t>
            </w:r>
            <w:r w:rsidR="00F72BA4" w:rsidRPr="00D83AA3">
              <w:rPr>
                <w:rFonts w:ascii="Twinkl" w:hAnsi="Twinkl"/>
                <w:b/>
                <w:sz w:val="22"/>
                <w:szCs w:val="22"/>
              </w:rPr>
              <w:t>all’</w:t>
            </w:r>
          </w:p>
          <w:p w14:paraId="77227CDF" w14:textId="0A12F593" w:rsidR="006B672F" w:rsidRPr="00D83AA3" w:rsidRDefault="006B672F" w:rsidP="00B02EC1">
            <w:pPr>
              <w:jc w:val="center"/>
              <w:rPr>
                <w:rFonts w:ascii="Twinkl" w:hAnsi="Twinkl"/>
                <w:b/>
                <w:sz w:val="32"/>
                <w:szCs w:val="32"/>
              </w:rPr>
            </w:pPr>
            <w:r w:rsidRPr="00D83AA3">
              <w:rPr>
                <w:rFonts w:ascii="Twinkl" w:hAnsi="Twinkl"/>
                <w:b/>
                <w:sz w:val="32"/>
                <w:szCs w:val="32"/>
              </w:rPr>
              <w:t>Medium Term Planning</w:t>
            </w:r>
            <w:r w:rsidR="00BA02B9" w:rsidRPr="00D83AA3">
              <w:rPr>
                <w:rFonts w:ascii="Twinkl" w:hAnsi="Twinkl"/>
                <w:b/>
                <w:sz w:val="32"/>
                <w:szCs w:val="32"/>
              </w:rPr>
              <w:t xml:space="preserve"> - </w:t>
            </w:r>
            <w:r w:rsidR="007B4DAC" w:rsidRPr="00D83AA3">
              <w:rPr>
                <w:rFonts w:ascii="Twinkl" w:hAnsi="Twinkl"/>
                <w:b/>
                <w:sz w:val="32"/>
                <w:szCs w:val="32"/>
              </w:rPr>
              <w:t>Topic:</w:t>
            </w:r>
            <w:r w:rsidR="00750713">
              <w:rPr>
                <w:rFonts w:ascii="Twinkl" w:hAnsi="Twinkl"/>
                <w:b/>
                <w:sz w:val="32"/>
                <w:szCs w:val="32"/>
              </w:rPr>
              <w:t xml:space="preserve"> </w:t>
            </w:r>
            <w:r w:rsidR="00CD488B">
              <w:rPr>
                <w:rFonts w:ascii="Twinkl" w:hAnsi="Twinkl"/>
                <w:b/>
                <w:sz w:val="32"/>
                <w:szCs w:val="32"/>
              </w:rPr>
              <w:t>Cell</w:t>
            </w:r>
            <w:r w:rsidR="00786FF1">
              <w:rPr>
                <w:rFonts w:ascii="Twinkl" w:hAnsi="Twinkl"/>
                <w:b/>
                <w:sz w:val="32"/>
                <w:szCs w:val="32"/>
              </w:rPr>
              <w:t xml:space="preserve"> Structure &amp; Transport</w:t>
            </w:r>
          </w:p>
        </w:tc>
      </w:tr>
      <w:tr w:rsidR="001A3057" w:rsidRPr="00D83AA3" w14:paraId="6E82A71D" w14:textId="77777777" w:rsidTr="00152F20">
        <w:trPr>
          <w:trHeight w:val="297"/>
        </w:trPr>
        <w:tc>
          <w:tcPr>
            <w:tcW w:w="2100" w:type="dxa"/>
            <w:shd w:val="clear" w:color="auto" w:fill="000000" w:themeFill="text1"/>
            <w:vAlign w:val="center"/>
          </w:tcPr>
          <w:p w14:paraId="44D55E81" w14:textId="5D41FE9A" w:rsidR="001A3057" w:rsidRPr="00D83AA3" w:rsidRDefault="00B4697E" w:rsidP="00C136E5">
            <w:pPr>
              <w:jc w:val="center"/>
              <w:rPr>
                <w:rFonts w:ascii="Twinkl" w:hAnsi="Twinkl"/>
                <w:b/>
              </w:rPr>
            </w:pPr>
            <w:r>
              <w:rPr>
                <w:rFonts w:ascii="Twinkl" w:hAnsi="Twinkl"/>
                <w:b/>
              </w:rPr>
              <w:t xml:space="preserve">Curriculum </w:t>
            </w:r>
            <w:r w:rsidR="001A3057" w:rsidRPr="00D83AA3">
              <w:rPr>
                <w:rFonts w:ascii="Twinkl" w:hAnsi="Twinkl"/>
                <w:b/>
              </w:rPr>
              <w:t>Intent</w:t>
            </w:r>
          </w:p>
        </w:tc>
        <w:tc>
          <w:tcPr>
            <w:tcW w:w="8952" w:type="dxa"/>
            <w:vMerge w:val="restart"/>
            <w:vAlign w:val="center"/>
          </w:tcPr>
          <w:p w14:paraId="3A966584" w14:textId="23CC1C35" w:rsidR="001A3057" w:rsidRPr="00B02EC1" w:rsidRDefault="001A3057" w:rsidP="0036480A">
            <w:pPr>
              <w:autoSpaceDE w:val="0"/>
              <w:autoSpaceDN w:val="0"/>
              <w:adjustRightInd w:val="0"/>
              <w:jc w:val="center"/>
              <w:rPr>
                <w:rFonts w:cstheme="minorHAnsi"/>
                <w:b/>
                <w:bCs/>
                <w:sz w:val="20"/>
                <w:szCs w:val="20"/>
              </w:rPr>
            </w:pPr>
            <w:r w:rsidRPr="00B02EC1">
              <w:rPr>
                <w:rFonts w:cstheme="minorHAnsi"/>
                <w:b/>
                <w:bCs/>
                <w:sz w:val="20"/>
                <w:szCs w:val="20"/>
              </w:rPr>
              <w:t xml:space="preserve">In addition to working further on objectives from </w:t>
            </w:r>
            <w:r w:rsidR="00D3392B">
              <w:rPr>
                <w:rFonts w:cstheme="minorHAnsi"/>
                <w:b/>
                <w:bCs/>
                <w:sz w:val="20"/>
                <w:szCs w:val="20"/>
              </w:rPr>
              <w:t>KS3</w:t>
            </w:r>
            <w:r w:rsidR="00483C8D">
              <w:rPr>
                <w:rFonts w:cstheme="minorHAnsi"/>
                <w:b/>
                <w:bCs/>
                <w:sz w:val="20"/>
                <w:szCs w:val="20"/>
              </w:rPr>
              <w:t xml:space="preserve"> Cells</w:t>
            </w:r>
            <w:r w:rsidR="009168E8">
              <w:rPr>
                <w:rFonts w:cstheme="minorHAnsi"/>
                <w:b/>
                <w:bCs/>
                <w:sz w:val="20"/>
                <w:szCs w:val="20"/>
              </w:rPr>
              <w:t xml:space="preserve"> (Year 7)</w:t>
            </w:r>
            <w:r w:rsidR="000B09FD" w:rsidRPr="00B02EC1">
              <w:rPr>
                <w:rFonts w:cstheme="minorHAnsi"/>
                <w:b/>
                <w:bCs/>
                <w:sz w:val="20"/>
                <w:szCs w:val="20"/>
              </w:rPr>
              <w:t>,</w:t>
            </w:r>
            <w:r w:rsidR="00E85EEA">
              <w:rPr>
                <w:rFonts w:cstheme="minorHAnsi"/>
                <w:b/>
                <w:bCs/>
                <w:sz w:val="20"/>
                <w:szCs w:val="20"/>
              </w:rPr>
              <w:t xml:space="preserve"> </w:t>
            </w:r>
            <w:r w:rsidRPr="00B02EC1">
              <w:rPr>
                <w:rFonts w:cstheme="minorHAnsi"/>
                <w:b/>
                <w:bCs/>
                <w:sz w:val="20"/>
                <w:szCs w:val="20"/>
              </w:rPr>
              <w:t xml:space="preserve">pupils </w:t>
            </w:r>
            <w:r w:rsidR="005E16C2" w:rsidRPr="00B02EC1">
              <w:rPr>
                <w:rFonts w:cstheme="minorHAnsi"/>
                <w:b/>
                <w:bCs/>
                <w:sz w:val="20"/>
                <w:szCs w:val="20"/>
              </w:rPr>
              <w:t>will be taught</w:t>
            </w:r>
            <w:r w:rsidR="00E74697" w:rsidRPr="00B02EC1">
              <w:rPr>
                <w:rFonts w:cstheme="minorHAnsi"/>
                <w:b/>
                <w:bCs/>
                <w:sz w:val="20"/>
                <w:szCs w:val="20"/>
              </w:rPr>
              <w:t xml:space="preserve">, following National Curriculum </w:t>
            </w:r>
            <w:r w:rsidR="00707EF7" w:rsidRPr="00B02EC1">
              <w:rPr>
                <w:rFonts w:cstheme="minorHAnsi"/>
                <w:b/>
                <w:bCs/>
                <w:sz w:val="20"/>
                <w:szCs w:val="20"/>
              </w:rPr>
              <w:t>guidelines</w:t>
            </w:r>
            <w:r w:rsidR="008855DE" w:rsidRPr="00B02EC1">
              <w:rPr>
                <w:rFonts w:cstheme="minorHAnsi"/>
                <w:b/>
                <w:bCs/>
                <w:sz w:val="20"/>
                <w:szCs w:val="20"/>
              </w:rPr>
              <w:t>,</w:t>
            </w:r>
            <w:r w:rsidR="00707EF7" w:rsidRPr="00B02EC1">
              <w:rPr>
                <w:rFonts w:cstheme="minorHAnsi"/>
                <w:b/>
                <w:bCs/>
                <w:sz w:val="20"/>
                <w:szCs w:val="20"/>
              </w:rPr>
              <w:t xml:space="preserve"> the following</w:t>
            </w:r>
            <w:r w:rsidR="00483C8D">
              <w:rPr>
                <w:rFonts w:cstheme="minorHAnsi"/>
                <w:b/>
                <w:bCs/>
                <w:sz w:val="20"/>
                <w:szCs w:val="20"/>
              </w:rPr>
              <w:t xml:space="preserve"> in</w:t>
            </w:r>
            <w:r w:rsidR="00707EF7" w:rsidRPr="00B02EC1">
              <w:rPr>
                <w:rFonts w:cstheme="minorHAnsi"/>
                <w:b/>
                <w:bCs/>
                <w:sz w:val="20"/>
                <w:szCs w:val="20"/>
              </w:rPr>
              <w:t xml:space="preserve"> this </w:t>
            </w:r>
            <w:r w:rsidR="000973CE">
              <w:rPr>
                <w:rFonts w:cstheme="minorHAnsi"/>
                <w:b/>
                <w:bCs/>
                <w:sz w:val="20"/>
                <w:szCs w:val="20"/>
              </w:rPr>
              <w:t>topic</w:t>
            </w:r>
            <w:r w:rsidRPr="00B02EC1">
              <w:rPr>
                <w:rFonts w:cstheme="minorHAnsi"/>
                <w:b/>
                <w:bCs/>
                <w:sz w:val="20"/>
                <w:szCs w:val="20"/>
              </w:rPr>
              <w:t>:</w:t>
            </w:r>
          </w:p>
          <w:p w14:paraId="7494B829" w14:textId="1809D0F1" w:rsidR="001A3057" w:rsidRDefault="00353AC4" w:rsidP="00353AC4">
            <w:pPr>
              <w:pStyle w:val="ListParagraph"/>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sidRPr="00353AC4">
              <w:rPr>
                <w:rFonts w:ascii="Twinkl" w:eastAsia="Times New Roman" w:hAnsi="Twinkl" w:cs="Calibri"/>
                <w:color w:val="000000"/>
                <w:sz w:val="20"/>
                <w:szCs w:val="20"/>
                <w:lang w:val="en-GB" w:eastAsia="fr-FR"/>
              </w:rPr>
              <w:t>the fundamental units of living organisms are cells, which may be part of highly adapted structures including tissues, organs and organ systems, enabling life processes to be performed more effectively</w:t>
            </w:r>
          </w:p>
          <w:p w14:paraId="20AFAB1C" w14:textId="77777777" w:rsidR="001A3057" w:rsidRDefault="00E01778" w:rsidP="00E232C6">
            <w:pPr>
              <w:pStyle w:val="ListParagraph"/>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sidRPr="00E01778">
              <w:rPr>
                <w:rFonts w:ascii="Twinkl" w:eastAsia="Times New Roman" w:hAnsi="Twinkl" w:cs="Calibri"/>
                <w:color w:val="000000"/>
                <w:sz w:val="20"/>
                <w:szCs w:val="20"/>
                <w:lang w:val="en-GB" w:eastAsia="fr-FR"/>
              </w:rPr>
              <w:t>cells as the basic structural unit of all organisms; adaptations of cells related to</w:t>
            </w:r>
            <w:r w:rsidR="00E232C6">
              <w:rPr>
                <w:rFonts w:ascii="Twinkl" w:eastAsia="Times New Roman" w:hAnsi="Twinkl" w:cs="Calibri"/>
                <w:color w:val="000000"/>
                <w:sz w:val="20"/>
                <w:szCs w:val="20"/>
                <w:lang w:val="en-GB" w:eastAsia="fr-FR"/>
              </w:rPr>
              <w:t xml:space="preserve"> </w:t>
            </w:r>
            <w:r w:rsidRPr="00E232C6">
              <w:rPr>
                <w:rFonts w:ascii="Twinkl" w:eastAsia="Times New Roman" w:hAnsi="Twinkl" w:cs="Calibri"/>
                <w:color w:val="000000"/>
                <w:sz w:val="20"/>
                <w:szCs w:val="20"/>
                <w:lang w:val="en-GB" w:eastAsia="fr-FR"/>
              </w:rPr>
              <w:t>their functions; the main sub-cellular structures of eukaryotic and prokaryotic</w:t>
            </w:r>
            <w:r w:rsidR="00E232C6">
              <w:rPr>
                <w:rFonts w:ascii="Twinkl" w:eastAsia="Times New Roman" w:hAnsi="Twinkl" w:cs="Calibri"/>
                <w:color w:val="000000"/>
                <w:sz w:val="20"/>
                <w:szCs w:val="20"/>
                <w:lang w:val="en-GB" w:eastAsia="fr-FR"/>
              </w:rPr>
              <w:t xml:space="preserve"> c</w:t>
            </w:r>
            <w:r w:rsidRPr="00E01778">
              <w:rPr>
                <w:rFonts w:ascii="Twinkl" w:eastAsia="Times New Roman" w:hAnsi="Twinkl" w:cs="Calibri"/>
                <w:color w:val="000000"/>
                <w:sz w:val="20"/>
                <w:szCs w:val="20"/>
                <w:lang w:val="en-GB" w:eastAsia="fr-FR"/>
              </w:rPr>
              <w:t>ells</w:t>
            </w:r>
          </w:p>
          <w:p w14:paraId="489746C4" w14:textId="1B23B2E2" w:rsidR="00E232C6" w:rsidRPr="00B02EC1" w:rsidRDefault="00E232C6" w:rsidP="00E232C6">
            <w:pPr>
              <w:pStyle w:val="ListParagraph"/>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sidRPr="00E232C6">
              <w:rPr>
                <w:rFonts w:ascii="Twinkl" w:eastAsia="Times New Roman" w:hAnsi="Twinkl" w:cs="Calibri"/>
                <w:color w:val="000000"/>
                <w:sz w:val="20"/>
                <w:szCs w:val="20"/>
                <w:lang w:val="en-GB" w:eastAsia="fr-FR"/>
              </w:rPr>
              <w:t>the need for transport systems in multicellular organisms, including plants</w:t>
            </w:r>
          </w:p>
        </w:tc>
      </w:tr>
      <w:tr w:rsidR="001A3057" w:rsidRPr="00D83AA3" w14:paraId="27CAE940" w14:textId="77777777" w:rsidTr="00767CE5">
        <w:trPr>
          <w:trHeight w:val="2413"/>
        </w:trPr>
        <w:tc>
          <w:tcPr>
            <w:tcW w:w="2100" w:type="dxa"/>
            <w:shd w:val="clear" w:color="auto" w:fill="BFBFBF" w:themeFill="background1" w:themeFillShade="BF"/>
            <w:vAlign w:val="center"/>
          </w:tcPr>
          <w:p w14:paraId="54C6F2B5" w14:textId="79D024FC" w:rsidR="001A3057" w:rsidRPr="00D83AA3" w:rsidRDefault="003A5231" w:rsidP="00BA45D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vAlign w:val="center"/>
          </w:tcPr>
          <w:p w14:paraId="66B0CD90" w14:textId="77777777" w:rsidR="001A3057" w:rsidRPr="00B02EC1" w:rsidRDefault="001A3057" w:rsidP="00BA45DC">
            <w:pPr>
              <w:autoSpaceDE w:val="0"/>
              <w:autoSpaceDN w:val="0"/>
              <w:adjustRightInd w:val="0"/>
              <w:rPr>
                <w:rFonts w:ascii="Twinkl" w:hAnsi="Twinkl" w:cstheme="minorHAnsi"/>
                <w:b/>
                <w:bCs/>
                <w:sz w:val="20"/>
                <w:szCs w:val="20"/>
              </w:rPr>
            </w:pPr>
          </w:p>
        </w:tc>
      </w:tr>
      <w:tr w:rsidR="00665355" w:rsidRPr="00D83AA3" w14:paraId="71CE3CD1" w14:textId="77777777" w:rsidTr="00BA195F">
        <w:trPr>
          <w:trHeight w:val="334"/>
        </w:trPr>
        <w:tc>
          <w:tcPr>
            <w:tcW w:w="2100" w:type="dxa"/>
            <w:shd w:val="clear" w:color="auto" w:fill="BFBFBF" w:themeFill="background1" w:themeFillShade="BF"/>
            <w:vAlign w:val="center"/>
          </w:tcPr>
          <w:p w14:paraId="22BBF83D" w14:textId="76A21F92" w:rsidR="00665355" w:rsidRPr="000E05F4" w:rsidRDefault="000E05F4" w:rsidP="00BA45DC">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00DB2E9F" w:rsidRPr="000E05F4">
              <w:rPr>
                <w:rFonts w:ascii="Twinkl" w:hAnsi="Twinkl"/>
                <w:b/>
              </w:rPr>
              <w:t>social,</w:t>
            </w:r>
            <w:r>
              <w:rPr>
                <w:rFonts w:ascii="Twinkl" w:hAnsi="Twinkl"/>
                <w:b/>
              </w:rPr>
              <w:t xml:space="preserve"> and </w:t>
            </w:r>
            <w:r w:rsidRPr="000E05F4">
              <w:rPr>
                <w:rFonts w:ascii="Twinkl" w:hAnsi="Twinkl"/>
                <w:b/>
              </w:rPr>
              <w:t>cultural development</w:t>
            </w:r>
          </w:p>
        </w:tc>
        <w:tc>
          <w:tcPr>
            <w:tcW w:w="8952" w:type="dxa"/>
            <w:vAlign w:val="center"/>
          </w:tcPr>
          <w:p w14:paraId="648D2CEE" w14:textId="26BE6D11" w:rsidR="00A457A1" w:rsidRPr="00FC14F1" w:rsidRDefault="00A457A1" w:rsidP="00A457A1">
            <w:pPr>
              <w:autoSpaceDE w:val="0"/>
              <w:autoSpaceDN w:val="0"/>
              <w:adjustRightInd w:val="0"/>
              <w:rPr>
                <w:rFonts w:ascii="Twinkl" w:hAnsi="Twinkl" w:cs="Calibri"/>
                <w:bCs/>
                <w:sz w:val="20"/>
                <w:szCs w:val="20"/>
                <w:lang w:val="en-GB"/>
              </w:rPr>
            </w:pPr>
            <w:r w:rsidRPr="00B02EC1">
              <w:rPr>
                <w:rFonts w:ascii="Twinkl" w:hAnsi="Twinkl"/>
                <w:b/>
                <w:sz w:val="20"/>
                <w:szCs w:val="20"/>
              </w:rPr>
              <w:t xml:space="preserve">SMSC: </w:t>
            </w:r>
            <w:r w:rsidR="00FC14F1">
              <w:rPr>
                <w:rFonts w:ascii="Twinkl" w:hAnsi="Twinkl"/>
                <w:bCs/>
                <w:sz w:val="20"/>
                <w:szCs w:val="20"/>
              </w:rPr>
              <w:t xml:space="preserve">Microscopy </w:t>
            </w:r>
            <w:r w:rsidR="00FC14F1" w:rsidRPr="00FC14F1">
              <w:rPr>
                <w:rFonts w:ascii="Twinkl" w:hAnsi="Twinkl"/>
                <w:bCs/>
                <w:sz w:val="20"/>
                <w:szCs w:val="20"/>
              </w:rPr>
              <w:sym w:font="Wingdings" w:char="F0E0"/>
            </w:r>
            <w:r w:rsidR="00FC14F1">
              <w:rPr>
                <w:rFonts w:ascii="Twinkl" w:hAnsi="Twinkl"/>
                <w:bCs/>
                <w:sz w:val="20"/>
                <w:szCs w:val="20"/>
              </w:rPr>
              <w:t xml:space="preserve"> leading to knowledge of </w:t>
            </w:r>
            <w:r w:rsidR="00031980">
              <w:rPr>
                <w:rFonts w:ascii="Twinkl" w:hAnsi="Twinkl"/>
                <w:bCs/>
                <w:sz w:val="20"/>
                <w:szCs w:val="20"/>
              </w:rPr>
              <w:t>human body, diseases</w:t>
            </w:r>
          </w:p>
          <w:p w14:paraId="17018E3D" w14:textId="3B9961E0" w:rsidR="00A457A1" w:rsidRPr="00031980" w:rsidRDefault="00A457A1" w:rsidP="00A457A1">
            <w:pPr>
              <w:autoSpaceDE w:val="0"/>
              <w:autoSpaceDN w:val="0"/>
              <w:adjustRightInd w:val="0"/>
              <w:rPr>
                <w:rFonts w:ascii="Twinkl" w:hAnsi="Twinkl" w:cstheme="minorHAnsi"/>
                <w:bCs/>
                <w:sz w:val="20"/>
                <w:szCs w:val="20"/>
              </w:rPr>
            </w:pPr>
            <w:r w:rsidRPr="00B02EC1">
              <w:rPr>
                <w:rFonts w:ascii="Twinkl" w:hAnsi="Twinkl"/>
                <w:b/>
                <w:sz w:val="20"/>
                <w:szCs w:val="20"/>
              </w:rPr>
              <w:t>PSHE</w:t>
            </w:r>
            <w:r w:rsidR="00874180" w:rsidRPr="00B02EC1">
              <w:rPr>
                <w:rFonts w:ascii="Twinkl" w:hAnsi="Twinkl"/>
                <w:b/>
                <w:sz w:val="20"/>
                <w:szCs w:val="20"/>
              </w:rPr>
              <w:t>/British Values</w:t>
            </w:r>
            <w:r w:rsidRPr="00B02EC1">
              <w:rPr>
                <w:rFonts w:ascii="Twinkl" w:hAnsi="Twinkl"/>
                <w:b/>
                <w:sz w:val="20"/>
                <w:szCs w:val="20"/>
              </w:rPr>
              <w:t xml:space="preserve">: </w:t>
            </w:r>
            <w:r w:rsidR="00031980">
              <w:rPr>
                <w:rFonts w:ascii="Twinkl" w:hAnsi="Twinkl"/>
                <w:bCs/>
                <w:sz w:val="20"/>
                <w:szCs w:val="20"/>
              </w:rPr>
              <w:t>Teamwork, respect for others’ ideas.</w:t>
            </w:r>
          </w:p>
          <w:p w14:paraId="46F64BFE" w14:textId="574455FF" w:rsidR="00A50387" w:rsidRPr="00122DFF" w:rsidRDefault="00A50387" w:rsidP="00A457A1">
            <w:pPr>
              <w:autoSpaceDE w:val="0"/>
              <w:autoSpaceDN w:val="0"/>
              <w:adjustRightInd w:val="0"/>
              <w:rPr>
                <w:rFonts w:ascii="Twinkl" w:hAnsi="Twinkl" w:cs="Arial"/>
                <w:bCs/>
                <w:sz w:val="20"/>
                <w:szCs w:val="20"/>
              </w:rPr>
            </w:pPr>
            <w:r w:rsidRPr="00B02EC1">
              <w:rPr>
                <w:rFonts w:ascii="Twinkl" w:hAnsi="Twinkl" w:cs="Arial"/>
                <w:b/>
                <w:sz w:val="20"/>
                <w:szCs w:val="20"/>
              </w:rPr>
              <w:t>Skills Builder:</w:t>
            </w:r>
            <w:r w:rsidR="00BE71AE">
              <w:rPr>
                <w:rFonts w:ascii="Twinkl" w:hAnsi="Twinkl" w:cs="Arial"/>
                <w:b/>
                <w:sz w:val="20"/>
                <w:szCs w:val="20"/>
              </w:rPr>
              <w:t xml:space="preserve"> </w:t>
            </w:r>
            <w:r w:rsidR="00122DFF">
              <w:rPr>
                <w:rFonts w:ascii="Twinkl" w:hAnsi="Twinkl" w:cs="Arial"/>
                <w:bCs/>
                <w:sz w:val="20"/>
                <w:szCs w:val="20"/>
              </w:rPr>
              <w:t>Manipulation of equipment</w:t>
            </w:r>
          </w:p>
        </w:tc>
      </w:tr>
      <w:tr w:rsidR="000E05F4" w:rsidRPr="00D83AA3" w14:paraId="165097A2" w14:textId="77777777" w:rsidTr="00BA195F">
        <w:trPr>
          <w:trHeight w:val="334"/>
        </w:trPr>
        <w:tc>
          <w:tcPr>
            <w:tcW w:w="2100" w:type="dxa"/>
            <w:shd w:val="clear" w:color="auto" w:fill="BFBFBF" w:themeFill="background1" w:themeFillShade="BF"/>
            <w:vAlign w:val="center"/>
          </w:tcPr>
          <w:p w14:paraId="33B1E0E8" w14:textId="0C0F8DBE" w:rsidR="000E05F4" w:rsidRPr="00D83AA3" w:rsidRDefault="000E05F4" w:rsidP="00BA45DC">
            <w:pPr>
              <w:jc w:val="center"/>
              <w:rPr>
                <w:rFonts w:ascii="Twinkl" w:hAnsi="Twinkl"/>
                <w:b/>
              </w:rPr>
            </w:pPr>
            <w:r>
              <w:rPr>
                <w:rFonts w:ascii="Twinkl" w:hAnsi="Twinkl"/>
                <w:b/>
              </w:rPr>
              <w:t>Numeracy</w:t>
            </w:r>
          </w:p>
        </w:tc>
        <w:tc>
          <w:tcPr>
            <w:tcW w:w="8952" w:type="dxa"/>
            <w:vAlign w:val="center"/>
          </w:tcPr>
          <w:p w14:paraId="0959E357" w14:textId="77777777" w:rsidR="000E05F4" w:rsidRDefault="00AD01E6" w:rsidP="00A457A1">
            <w:pPr>
              <w:autoSpaceDE w:val="0"/>
              <w:autoSpaceDN w:val="0"/>
              <w:adjustRightInd w:val="0"/>
              <w:rPr>
                <w:rFonts w:ascii="Twinkl" w:eastAsia="Times New Roman" w:hAnsi="Twinkl" w:cstheme="minorHAnsi"/>
                <w:color w:val="000000" w:themeColor="text1"/>
                <w:sz w:val="20"/>
                <w:szCs w:val="20"/>
                <w:lang w:val="en-GB" w:eastAsia="en-GB"/>
              </w:rPr>
            </w:pPr>
            <w:r>
              <w:rPr>
                <w:rFonts w:ascii="Twinkl" w:hAnsi="Twinkl"/>
                <w:bCs/>
                <w:sz w:val="20"/>
                <w:szCs w:val="20"/>
              </w:rPr>
              <w:t xml:space="preserve">Calculations required in the topic include </w:t>
            </w:r>
            <w:r w:rsidR="00102627">
              <w:rPr>
                <w:rFonts w:ascii="Twinkl" w:hAnsi="Twinkl"/>
                <w:bCs/>
                <w:sz w:val="20"/>
                <w:szCs w:val="20"/>
              </w:rPr>
              <w:t xml:space="preserve">conversion </w:t>
            </w:r>
            <w:r w:rsidR="00D00141">
              <w:rPr>
                <w:rFonts w:ascii="Twinkl" w:hAnsi="Twinkl"/>
                <w:bCs/>
                <w:sz w:val="20"/>
                <w:szCs w:val="20"/>
              </w:rPr>
              <w:t xml:space="preserve">between units of measurement (length) </w:t>
            </w:r>
            <w:r w:rsidR="00102627">
              <w:rPr>
                <w:rFonts w:ascii="Twinkl" w:hAnsi="Twinkl"/>
                <w:bCs/>
                <w:sz w:val="20"/>
                <w:szCs w:val="20"/>
              </w:rPr>
              <w:t xml:space="preserve">and </w:t>
            </w:r>
            <w:r w:rsidR="00AA6328">
              <w:rPr>
                <w:rFonts w:ascii="Twinkl" w:hAnsi="Twinkl"/>
                <w:bCs/>
                <w:sz w:val="20"/>
                <w:szCs w:val="20"/>
              </w:rPr>
              <w:t>magnification calculations</w:t>
            </w:r>
            <w:r w:rsidR="00D00141">
              <w:rPr>
                <w:rFonts w:ascii="Twinkl" w:hAnsi="Twinkl"/>
                <w:bCs/>
                <w:sz w:val="20"/>
                <w:szCs w:val="20"/>
              </w:rPr>
              <w:t>. This also includes formula rearrangement</w:t>
            </w:r>
            <w:r w:rsidR="001307D3">
              <w:rPr>
                <w:rFonts w:ascii="Twinkl" w:hAnsi="Twinkl"/>
                <w:bCs/>
                <w:sz w:val="20"/>
                <w:szCs w:val="20"/>
              </w:rPr>
              <w:t xml:space="preserve"> using the formula </w:t>
            </w:r>
            <w:r w:rsidR="001307D3" w:rsidRPr="001307D3">
              <w:rPr>
                <w:rFonts w:ascii="Twinkl" w:eastAsia="Times New Roman" w:hAnsi="Twinkl" w:cstheme="minorHAnsi"/>
                <w:color w:val="000000" w:themeColor="text1"/>
                <w:sz w:val="20"/>
                <w:szCs w:val="20"/>
                <w:lang w:val="en-GB" w:eastAsia="en-GB"/>
              </w:rPr>
              <w:t>magnification = size of image / size of real object</w:t>
            </w:r>
            <w:r w:rsidR="001307D3">
              <w:rPr>
                <w:rFonts w:ascii="Twinkl" w:eastAsia="Times New Roman" w:hAnsi="Twinkl" w:cstheme="minorHAnsi"/>
                <w:color w:val="000000" w:themeColor="text1"/>
                <w:sz w:val="20"/>
                <w:szCs w:val="20"/>
                <w:lang w:val="en-GB" w:eastAsia="en-GB"/>
              </w:rPr>
              <w:t>, and expression of answers using standard form.</w:t>
            </w:r>
          </w:p>
          <w:p w14:paraId="4A0E0131" w14:textId="513B91D3" w:rsidR="00A00CA7" w:rsidRPr="00AD01E6" w:rsidRDefault="00A00CA7" w:rsidP="00A457A1">
            <w:pPr>
              <w:autoSpaceDE w:val="0"/>
              <w:autoSpaceDN w:val="0"/>
              <w:adjustRightInd w:val="0"/>
              <w:rPr>
                <w:rFonts w:ascii="Twinkl" w:hAnsi="Twinkl"/>
                <w:bCs/>
                <w:sz w:val="20"/>
                <w:szCs w:val="20"/>
              </w:rPr>
            </w:pPr>
            <w:r>
              <w:rPr>
                <w:rFonts w:ascii="Twinkl" w:eastAsia="Times New Roman" w:hAnsi="Twinkl" w:cstheme="minorHAnsi"/>
                <w:color w:val="000000" w:themeColor="text1"/>
                <w:sz w:val="20"/>
                <w:szCs w:val="20"/>
                <w:lang w:val="en-GB" w:eastAsia="en-GB"/>
              </w:rPr>
              <w:t>Calculation of surface area, volume, and surface area to volume ratio</w:t>
            </w:r>
          </w:p>
        </w:tc>
      </w:tr>
      <w:tr w:rsidR="00E8717B" w:rsidRPr="00D83AA3" w14:paraId="442C4827" w14:textId="77777777" w:rsidTr="00BA195F">
        <w:trPr>
          <w:trHeight w:val="334"/>
        </w:trPr>
        <w:tc>
          <w:tcPr>
            <w:tcW w:w="2100" w:type="dxa"/>
            <w:shd w:val="clear" w:color="auto" w:fill="BFBFBF" w:themeFill="background1" w:themeFillShade="BF"/>
            <w:vAlign w:val="center"/>
          </w:tcPr>
          <w:p w14:paraId="4C197CEE" w14:textId="4BA3F6D1" w:rsidR="00E8717B" w:rsidRPr="00D83AA3" w:rsidRDefault="00E8717B" w:rsidP="00BA45DC">
            <w:pPr>
              <w:jc w:val="center"/>
              <w:rPr>
                <w:rFonts w:ascii="Twinkl" w:hAnsi="Twinkl"/>
                <w:b/>
              </w:rPr>
            </w:pPr>
            <w:r>
              <w:rPr>
                <w:rFonts w:ascii="Twinkl" w:hAnsi="Twinkl"/>
                <w:b/>
              </w:rPr>
              <w:t>Literacy</w:t>
            </w:r>
          </w:p>
        </w:tc>
        <w:tc>
          <w:tcPr>
            <w:tcW w:w="8952" w:type="dxa"/>
            <w:vAlign w:val="center"/>
          </w:tcPr>
          <w:p w14:paraId="0862D819" w14:textId="6771F94B" w:rsidR="00E8717B" w:rsidRPr="00D267C1" w:rsidRDefault="00962F1D" w:rsidP="00A457A1">
            <w:pPr>
              <w:autoSpaceDE w:val="0"/>
              <w:autoSpaceDN w:val="0"/>
              <w:adjustRightInd w:val="0"/>
              <w:rPr>
                <w:rFonts w:ascii="Twinkl" w:hAnsi="Twinkl"/>
                <w:bCs/>
                <w:sz w:val="20"/>
                <w:szCs w:val="20"/>
              </w:rPr>
            </w:pPr>
            <w:r>
              <w:rPr>
                <w:rFonts w:ascii="Twinkl" w:hAnsi="Twinkl"/>
                <w:b/>
                <w:sz w:val="20"/>
                <w:szCs w:val="20"/>
              </w:rPr>
              <w:t>Vocabulary Tier 2:</w:t>
            </w:r>
            <w:r w:rsidR="00D267C1">
              <w:rPr>
                <w:rFonts w:ascii="Twinkl" w:hAnsi="Twinkl"/>
                <w:bCs/>
                <w:sz w:val="20"/>
                <w:szCs w:val="20"/>
              </w:rPr>
              <w:t xml:space="preserve"> specialised</w:t>
            </w:r>
            <w:r w:rsidR="007912AA">
              <w:rPr>
                <w:rFonts w:ascii="Twinkl" w:hAnsi="Twinkl"/>
                <w:bCs/>
                <w:sz w:val="20"/>
                <w:szCs w:val="20"/>
              </w:rPr>
              <w:t xml:space="preserve">, exchange, </w:t>
            </w:r>
            <w:r w:rsidR="00EB401F">
              <w:rPr>
                <w:rFonts w:ascii="Twinkl" w:hAnsi="Twinkl"/>
                <w:bCs/>
                <w:sz w:val="20"/>
                <w:szCs w:val="20"/>
              </w:rPr>
              <w:t>adaptation</w:t>
            </w:r>
            <w:r w:rsidR="00371F54">
              <w:rPr>
                <w:rFonts w:ascii="Twinkl" w:hAnsi="Twinkl"/>
                <w:bCs/>
                <w:sz w:val="20"/>
                <w:szCs w:val="20"/>
              </w:rPr>
              <w:t>, focus</w:t>
            </w:r>
            <w:r w:rsidR="00472711">
              <w:rPr>
                <w:rFonts w:ascii="Twinkl" w:hAnsi="Twinkl"/>
                <w:bCs/>
                <w:sz w:val="20"/>
                <w:szCs w:val="20"/>
              </w:rPr>
              <w:t>, gradient, permeable</w:t>
            </w:r>
          </w:p>
          <w:p w14:paraId="637F8A40" w14:textId="3DB95732" w:rsidR="00932796" w:rsidRDefault="00962F1D" w:rsidP="00A457A1">
            <w:pPr>
              <w:autoSpaceDE w:val="0"/>
              <w:autoSpaceDN w:val="0"/>
              <w:adjustRightInd w:val="0"/>
              <w:rPr>
                <w:rFonts w:ascii="Twinkl" w:hAnsi="Twinkl"/>
                <w:bCs/>
                <w:sz w:val="20"/>
                <w:szCs w:val="20"/>
              </w:rPr>
            </w:pPr>
            <w:r>
              <w:rPr>
                <w:rFonts w:ascii="Twinkl" w:hAnsi="Twinkl"/>
                <w:b/>
                <w:sz w:val="20"/>
                <w:szCs w:val="20"/>
              </w:rPr>
              <w:t>Vocabulary Tier 3:</w:t>
            </w:r>
            <w:r w:rsidR="00DF7D74">
              <w:rPr>
                <w:rFonts w:ascii="Twinkl" w:hAnsi="Twinkl"/>
                <w:b/>
                <w:sz w:val="20"/>
                <w:szCs w:val="20"/>
              </w:rPr>
              <w:t xml:space="preserve"> </w:t>
            </w:r>
            <w:r w:rsidR="00DF7D74">
              <w:rPr>
                <w:rFonts w:ascii="Twinkl" w:hAnsi="Twinkl"/>
                <w:bCs/>
                <w:sz w:val="20"/>
                <w:szCs w:val="20"/>
              </w:rPr>
              <w:t xml:space="preserve">eukaryotic, prokaryotic, nucleus, ribosome, cytoplasm, cell membrane, cell wall, vacuole, </w:t>
            </w:r>
            <w:r w:rsidR="00D267C1">
              <w:rPr>
                <w:rFonts w:ascii="Twinkl" w:hAnsi="Twinkl"/>
                <w:bCs/>
                <w:sz w:val="20"/>
                <w:szCs w:val="20"/>
              </w:rPr>
              <w:t xml:space="preserve">mitochondria, chloroplast, </w:t>
            </w:r>
            <w:r w:rsidR="00A67083">
              <w:rPr>
                <w:rFonts w:ascii="Twinkl" w:hAnsi="Twinkl"/>
                <w:bCs/>
                <w:sz w:val="20"/>
                <w:szCs w:val="20"/>
              </w:rPr>
              <w:t xml:space="preserve">flagella, </w:t>
            </w:r>
            <w:r w:rsidR="007912AA">
              <w:rPr>
                <w:rFonts w:ascii="Twinkl" w:hAnsi="Twinkl"/>
                <w:bCs/>
                <w:sz w:val="20"/>
                <w:szCs w:val="20"/>
              </w:rPr>
              <w:t xml:space="preserve">magnification, resolution, </w:t>
            </w:r>
            <w:r w:rsidR="00371F54">
              <w:rPr>
                <w:rFonts w:ascii="Twinkl" w:hAnsi="Twinkl"/>
                <w:bCs/>
                <w:sz w:val="20"/>
                <w:szCs w:val="20"/>
              </w:rPr>
              <w:t xml:space="preserve">objective lens, </w:t>
            </w:r>
            <w:r w:rsidR="007912AA">
              <w:rPr>
                <w:rFonts w:ascii="Twinkl" w:hAnsi="Twinkl"/>
                <w:bCs/>
                <w:sz w:val="20"/>
                <w:szCs w:val="20"/>
              </w:rPr>
              <w:t>diffusion, active transport, osmosis</w:t>
            </w:r>
          </w:p>
          <w:p w14:paraId="0DD7A756" w14:textId="77777777" w:rsidR="00932796" w:rsidRPr="00DF7D74" w:rsidRDefault="00932796" w:rsidP="00A457A1">
            <w:pPr>
              <w:autoSpaceDE w:val="0"/>
              <w:autoSpaceDN w:val="0"/>
              <w:adjustRightInd w:val="0"/>
              <w:rPr>
                <w:rFonts w:ascii="Twinkl" w:hAnsi="Twinkl"/>
                <w:bCs/>
                <w:sz w:val="20"/>
                <w:szCs w:val="20"/>
              </w:rPr>
            </w:pPr>
          </w:p>
          <w:p w14:paraId="40C6C24F" w14:textId="77777777" w:rsidR="00FA2C83" w:rsidRPr="001D0BFF" w:rsidRDefault="00FA2C83" w:rsidP="00FA2C83">
            <w:pPr>
              <w:autoSpaceDE w:val="0"/>
              <w:autoSpaceDN w:val="0"/>
              <w:adjustRightInd w:val="0"/>
              <w:rPr>
                <w:rFonts w:ascii="Twinkl" w:hAnsi="Twinkl"/>
                <w:bCs/>
                <w:sz w:val="20"/>
                <w:szCs w:val="20"/>
              </w:rPr>
            </w:pPr>
            <w:r>
              <w:rPr>
                <w:rFonts w:ascii="Twinkl" w:hAnsi="Twinkl"/>
                <w:b/>
                <w:sz w:val="20"/>
                <w:szCs w:val="20"/>
              </w:rPr>
              <w:t xml:space="preserve">Reading: </w:t>
            </w:r>
            <w:r>
              <w:rPr>
                <w:rFonts w:ascii="Twinkl" w:hAnsi="Twinkl"/>
                <w:bCs/>
                <w:sz w:val="20"/>
                <w:szCs w:val="20"/>
              </w:rPr>
              <w:t>Students are given opportunity to develop their skills in specified tasks that develop disciplinary literacy. Throughout the GCSE Biology and Combined Science course they develop their understanding of the requirements of exam questions and the key terminology in questions. In addition, they read practical methodology and translate this to actions in laboratory tasks.</w:t>
            </w:r>
          </w:p>
          <w:p w14:paraId="24193255" w14:textId="77777777" w:rsidR="00FA2C83" w:rsidRPr="00FA7C02" w:rsidRDefault="00FA2C83" w:rsidP="00FA2C83">
            <w:pPr>
              <w:autoSpaceDE w:val="0"/>
              <w:autoSpaceDN w:val="0"/>
              <w:adjustRightInd w:val="0"/>
              <w:rPr>
                <w:rFonts w:ascii="Twinkl" w:hAnsi="Twinkl"/>
                <w:bCs/>
                <w:sz w:val="20"/>
                <w:szCs w:val="20"/>
              </w:rPr>
            </w:pPr>
            <w:r>
              <w:rPr>
                <w:rFonts w:ascii="Twinkl" w:hAnsi="Twinkl"/>
                <w:b/>
                <w:sz w:val="20"/>
                <w:szCs w:val="20"/>
              </w:rPr>
              <w:t xml:space="preserve">Writing: </w:t>
            </w:r>
            <w:r>
              <w:rPr>
                <w:rFonts w:ascii="Twinkl" w:hAnsi="Twinkl"/>
                <w:bCs/>
                <w:sz w:val="20"/>
                <w:szCs w:val="20"/>
              </w:rPr>
              <w:t>Students construct answers independently and through class teaching. Their answers range from single word answers to the planning and writing of 6-mark “extended writing” tasks that require linking of multiple concepts from a topic. These often develop students ability to construct written evaluations of contrasting situations, where the use of comparative connectives are required.</w:t>
            </w:r>
          </w:p>
          <w:p w14:paraId="08DA9254" w14:textId="75ACB45A" w:rsidR="00962F1D" w:rsidRPr="00962F1D" w:rsidRDefault="00FA2C83" w:rsidP="00FA2C83">
            <w:pPr>
              <w:autoSpaceDE w:val="0"/>
              <w:autoSpaceDN w:val="0"/>
              <w:adjustRightInd w:val="0"/>
              <w:rPr>
                <w:rFonts w:ascii="Twinkl" w:hAnsi="Twinkl"/>
                <w:bCs/>
                <w:sz w:val="20"/>
                <w:szCs w:val="20"/>
              </w:rPr>
            </w:pPr>
            <w:r>
              <w:rPr>
                <w:rFonts w:ascii="Twinkl" w:hAnsi="Twinkl"/>
                <w:b/>
                <w:sz w:val="20"/>
                <w:szCs w:val="20"/>
              </w:rPr>
              <w:t xml:space="preserve">Oracy: </w:t>
            </w:r>
            <w:r>
              <w:rPr>
                <w:rFonts w:ascii="Twinkl" w:hAnsi="Twinkl"/>
                <w:bCs/>
                <w:sz w:val="20"/>
                <w:szCs w:val="20"/>
              </w:rPr>
              <w:t>Students are regularly given the opportunity to practice their scientific vocabulary in class discussion, through choral response and in giving instruction to others during practical activities.</w:t>
            </w:r>
          </w:p>
        </w:tc>
      </w:tr>
      <w:tr w:rsidR="002D5DFE" w:rsidRPr="00D83AA3" w14:paraId="55B110B1" w14:textId="77777777" w:rsidTr="00BA195F">
        <w:trPr>
          <w:trHeight w:val="334"/>
        </w:trPr>
        <w:tc>
          <w:tcPr>
            <w:tcW w:w="2100" w:type="dxa"/>
            <w:shd w:val="clear" w:color="auto" w:fill="BFBFBF" w:themeFill="background1" w:themeFillShade="BF"/>
            <w:vAlign w:val="center"/>
          </w:tcPr>
          <w:p w14:paraId="7B153C6B" w14:textId="3747AA48" w:rsidR="002D5DFE" w:rsidRPr="00D83AA3" w:rsidRDefault="002D5DFE" w:rsidP="00BA45DC">
            <w:pPr>
              <w:jc w:val="center"/>
              <w:rPr>
                <w:rFonts w:ascii="Twinkl" w:hAnsi="Twinkl"/>
                <w:b/>
              </w:rPr>
            </w:pPr>
            <w:r w:rsidRPr="00D83AA3">
              <w:rPr>
                <w:rFonts w:ascii="Twinkl" w:hAnsi="Twinkl"/>
                <w:b/>
              </w:rPr>
              <w:t>Becoming future ready</w:t>
            </w:r>
          </w:p>
        </w:tc>
        <w:tc>
          <w:tcPr>
            <w:tcW w:w="8952" w:type="dxa"/>
            <w:vAlign w:val="center"/>
          </w:tcPr>
          <w:p w14:paraId="78BBBF91" w14:textId="5701F787" w:rsidR="002D5DFE" w:rsidRPr="007D266F" w:rsidRDefault="003D3535" w:rsidP="002D5DFE">
            <w:pPr>
              <w:rPr>
                <w:rFonts w:ascii="Twinkl" w:eastAsia="Times New Roman" w:hAnsi="Twinkl" w:cs="Calibri"/>
                <w:sz w:val="20"/>
                <w:szCs w:val="20"/>
                <w:lang w:val="en-GB" w:eastAsia="en-GB"/>
              </w:rPr>
            </w:pPr>
            <w:r w:rsidRPr="007D266F">
              <w:rPr>
                <w:rFonts w:ascii="Twinkl" w:eastAsia="Times New Roman" w:hAnsi="Twinkl" w:cstheme="minorHAnsi"/>
                <w:b/>
                <w:bCs/>
                <w:sz w:val="20"/>
                <w:szCs w:val="20"/>
                <w:bdr w:val="none" w:sz="0" w:space="0" w:color="auto" w:frame="1"/>
                <w:lang w:val="en-GB" w:eastAsia="en-GB"/>
              </w:rPr>
              <w:t>Care</w:t>
            </w:r>
            <w:r w:rsidR="00AC2885" w:rsidRPr="007D266F">
              <w:rPr>
                <w:rFonts w:ascii="Twinkl" w:eastAsia="Times New Roman" w:hAnsi="Twinkl" w:cstheme="minorHAnsi"/>
                <w:b/>
                <w:bCs/>
                <w:sz w:val="20"/>
                <w:szCs w:val="20"/>
                <w:bdr w:val="none" w:sz="0" w:space="0" w:color="auto" w:frame="1"/>
                <w:lang w:val="en-GB" w:eastAsia="en-GB"/>
              </w:rPr>
              <w:t>e</w:t>
            </w:r>
            <w:r w:rsidRPr="007D266F">
              <w:rPr>
                <w:rFonts w:ascii="Twinkl" w:eastAsia="Times New Roman" w:hAnsi="Twinkl" w:cstheme="minorHAnsi"/>
                <w:b/>
                <w:bCs/>
                <w:sz w:val="20"/>
                <w:szCs w:val="20"/>
                <w:bdr w:val="none" w:sz="0" w:space="0" w:color="auto" w:frame="1"/>
                <w:lang w:val="en-GB" w:eastAsia="en-GB"/>
              </w:rPr>
              <w:t>rs/</w:t>
            </w:r>
            <w:r w:rsidR="002D5DFE" w:rsidRPr="007D266F">
              <w:rPr>
                <w:rFonts w:ascii="Twinkl" w:eastAsia="Times New Roman" w:hAnsi="Twinkl" w:cstheme="minorHAnsi"/>
                <w:b/>
                <w:bCs/>
                <w:sz w:val="20"/>
                <w:szCs w:val="20"/>
                <w:bdr w:val="none" w:sz="0" w:space="0" w:color="auto" w:frame="1"/>
                <w:lang w:val="en-GB" w:eastAsia="en-GB"/>
              </w:rPr>
              <w:t>Employability:</w:t>
            </w:r>
            <w:r w:rsidR="002D5DFE" w:rsidRPr="007D266F">
              <w:rPr>
                <w:rFonts w:ascii="Twinkl" w:eastAsia="Times New Roman" w:hAnsi="Twinkl" w:cstheme="minorHAnsi"/>
                <w:sz w:val="20"/>
                <w:szCs w:val="20"/>
                <w:bdr w:val="none" w:sz="0" w:space="0" w:color="auto" w:frame="1"/>
                <w:lang w:val="en-GB" w:eastAsia="en-GB"/>
              </w:rPr>
              <w:t> </w:t>
            </w:r>
            <w:r w:rsidR="007F314A" w:rsidRPr="007D266F">
              <w:rPr>
                <w:rFonts w:ascii="Twinkl" w:eastAsia="Times New Roman" w:hAnsi="Twinkl" w:cstheme="minorHAnsi"/>
                <w:sz w:val="20"/>
                <w:szCs w:val="20"/>
                <w:bdr w:val="none" w:sz="0" w:space="0" w:color="auto" w:frame="1"/>
                <w:lang w:val="en-GB" w:eastAsia="en-GB"/>
              </w:rPr>
              <w:t xml:space="preserve">Opportunity for development of communication, </w:t>
            </w:r>
            <w:r w:rsidR="007D266F" w:rsidRPr="007D266F">
              <w:rPr>
                <w:rFonts w:ascii="Twinkl" w:eastAsia="Times New Roman" w:hAnsi="Twinkl" w:cstheme="minorHAnsi"/>
                <w:sz w:val="20"/>
                <w:szCs w:val="20"/>
                <w:bdr w:val="none" w:sz="0" w:space="0" w:color="auto" w:frame="1"/>
                <w:lang w:val="en-GB" w:eastAsia="en-GB"/>
              </w:rPr>
              <w:t>teamwork,</w:t>
            </w:r>
            <w:r w:rsidR="007F314A" w:rsidRPr="007D266F">
              <w:rPr>
                <w:rFonts w:ascii="Twinkl" w:eastAsia="Times New Roman" w:hAnsi="Twinkl" w:cstheme="minorHAnsi"/>
                <w:sz w:val="20"/>
                <w:szCs w:val="20"/>
                <w:bdr w:val="none" w:sz="0" w:space="0" w:color="auto" w:frame="1"/>
                <w:lang w:val="en-GB" w:eastAsia="en-GB"/>
              </w:rPr>
              <w:t xml:space="preserve"> and manual dexterity in the completion of practical activities (Required Practicals in microscopy and </w:t>
            </w:r>
            <w:r w:rsidR="007D266F" w:rsidRPr="007D266F">
              <w:rPr>
                <w:rFonts w:ascii="Twinkl" w:eastAsia="Times New Roman" w:hAnsi="Twinkl" w:cstheme="minorHAnsi"/>
                <w:sz w:val="20"/>
                <w:szCs w:val="20"/>
                <w:bdr w:val="none" w:sz="0" w:space="0" w:color="auto" w:frame="1"/>
                <w:lang w:val="en-GB" w:eastAsia="en-GB"/>
              </w:rPr>
              <w:t>exchange)</w:t>
            </w:r>
          </w:p>
        </w:tc>
      </w:tr>
      <w:tr w:rsidR="00BA02B9" w:rsidRPr="00D83AA3" w14:paraId="4D45A554" w14:textId="77777777" w:rsidTr="00BA45DC">
        <w:trPr>
          <w:trHeight w:val="261"/>
        </w:trPr>
        <w:tc>
          <w:tcPr>
            <w:tcW w:w="2100" w:type="dxa"/>
            <w:shd w:val="clear" w:color="auto" w:fill="000000" w:themeFill="text1"/>
            <w:vAlign w:val="center"/>
          </w:tcPr>
          <w:p w14:paraId="0CD4730C" w14:textId="47CD745F" w:rsidR="00BA02B9" w:rsidRPr="00D83AA3" w:rsidRDefault="00AC4631" w:rsidP="00BA45DC">
            <w:pPr>
              <w:jc w:val="center"/>
              <w:rPr>
                <w:rFonts w:ascii="Twinkl" w:hAnsi="Twinkl"/>
                <w:b/>
                <w:sz w:val="22"/>
                <w:szCs w:val="22"/>
              </w:rPr>
            </w:pPr>
            <w:r>
              <w:rPr>
                <w:rFonts w:ascii="Twinkl" w:hAnsi="Twinkl"/>
                <w:b/>
                <w:sz w:val="22"/>
                <w:szCs w:val="22"/>
              </w:rPr>
              <w:t>Adaptation</w:t>
            </w:r>
          </w:p>
        </w:tc>
        <w:tc>
          <w:tcPr>
            <w:tcW w:w="8952" w:type="dxa"/>
            <w:vMerge w:val="restart"/>
            <w:vAlign w:val="center"/>
          </w:tcPr>
          <w:p w14:paraId="78A542A4" w14:textId="7A9E0D6D" w:rsidR="00BA02B9" w:rsidRPr="00B02EC1" w:rsidRDefault="00BA02B9" w:rsidP="00BA45DC">
            <w:pPr>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Throughout this topic, quality first teaching will provide differentiation:</w:t>
            </w:r>
          </w:p>
          <w:p w14:paraId="76FA92CC" w14:textId="73976665" w:rsidR="00BA02B9" w:rsidRPr="000B1A63" w:rsidRDefault="00BA02B9" w:rsidP="00BA45DC">
            <w:pPr>
              <w:pStyle w:val="ListParagraph"/>
              <w:ind w:left="0"/>
              <w:rPr>
                <w:rFonts w:ascii="Twinkl" w:hAnsi="Twinkl" w:cstheme="minorHAnsi"/>
                <w:bCs/>
                <w:sz w:val="20"/>
                <w:szCs w:val="20"/>
              </w:rPr>
            </w:pPr>
            <w:r w:rsidRPr="00B02EC1">
              <w:rPr>
                <w:rFonts w:ascii="Twinkl" w:hAnsi="Twinkl" w:cstheme="minorHAnsi"/>
                <w:b/>
                <w:sz w:val="20"/>
                <w:szCs w:val="20"/>
              </w:rPr>
              <w:t xml:space="preserve">By product: </w:t>
            </w:r>
            <w:r w:rsidR="000B1A63">
              <w:rPr>
                <w:rFonts w:ascii="Twinkl" w:hAnsi="Twinkl" w:cstheme="minorHAnsi"/>
                <w:bCs/>
                <w:sz w:val="20"/>
                <w:szCs w:val="20"/>
              </w:rPr>
              <w:t>Assessments have opportunities for students to achieve all grade</w:t>
            </w:r>
            <w:r w:rsidR="003F517B">
              <w:rPr>
                <w:rFonts w:ascii="Twinkl" w:hAnsi="Twinkl" w:cstheme="minorHAnsi"/>
                <w:bCs/>
                <w:sz w:val="20"/>
                <w:szCs w:val="20"/>
              </w:rPr>
              <w:t>s, with</w:t>
            </w:r>
            <w:r w:rsidR="00354B9D">
              <w:rPr>
                <w:rFonts w:ascii="Twinkl" w:hAnsi="Twinkl" w:cstheme="minorHAnsi"/>
                <w:bCs/>
                <w:sz w:val="20"/>
                <w:szCs w:val="20"/>
              </w:rPr>
              <w:t xml:space="preserve"> </w:t>
            </w:r>
            <w:r w:rsidR="00067459">
              <w:rPr>
                <w:rFonts w:ascii="Twinkl" w:hAnsi="Twinkl" w:cstheme="minorHAnsi"/>
                <w:bCs/>
                <w:sz w:val="20"/>
                <w:szCs w:val="20"/>
              </w:rPr>
              <w:t>structured questions and opportunities for development of extended writing for all abilities.</w:t>
            </w:r>
          </w:p>
          <w:p w14:paraId="05DE9AD1" w14:textId="16096415" w:rsidR="00BA02B9" w:rsidRPr="00B02EC1" w:rsidRDefault="00BA02B9" w:rsidP="00BA45DC">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By resource</w:t>
            </w:r>
            <w:r w:rsidR="0054296F">
              <w:rPr>
                <w:rFonts w:ascii="Twinkl" w:hAnsi="Twinkl" w:cstheme="minorHAnsi"/>
                <w:b/>
                <w:bCs/>
                <w:color w:val="000000"/>
                <w:sz w:val="20"/>
                <w:szCs w:val="20"/>
              </w:rPr>
              <w:t>:</w:t>
            </w:r>
            <w:r w:rsidR="0054296F">
              <w:rPr>
                <w:rFonts w:ascii="Twinkl" w:hAnsi="Twinkl" w:cstheme="minorHAnsi"/>
                <w:color w:val="000000"/>
                <w:sz w:val="20"/>
                <w:szCs w:val="20"/>
              </w:rPr>
              <w:t xml:space="preserve"> Booklets are differentiated as appropriate, with ‘</w:t>
            </w:r>
            <w:r w:rsidR="00202FC7">
              <w:rPr>
                <w:rFonts w:ascii="Twinkl" w:hAnsi="Twinkl" w:cstheme="minorHAnsi"/>
                <w:color w:val="000000"/>
                <w:sz w:val="20"/>
                <w:szCs w:val="20"/>
              </w:rPr>
              <w:t>Core’</w:t>
            </w:r>
            <w:r w:rsidR="0054296F">
              <w:rPr>
                <w:rFonts w:ascii="Twinkl" w:hAnsi="Twinkl" w:cstheme="minorHAnsi"/>
                <w:color w:val="000000"/>
                <w:sz w:val="20"/>
                <w:szCs w:val="20"/>
              </w:rPr>
              <w:t xml:space="preserve"> booklets produced</w:t>
            </w:r>
            <w:r w:rsidR="000B1A63">
              <w:rPr>
                <w:rFonts w:ascii="Twinkl" w:hAnsi="Twinkl" w:cstheme="minorHAnsi"/>
                <w:color w:val="000000"/>
                <w:sz w:val="20"/>
                <w:szCs w:val="20"/>
              </w:rPr>
              <w:t xml:space="preserve"> in conjunction with class teachers for students who would benefit from additional scaffolding of resources in order to achieve their potential.</w:t>
            </w:r>
            <w:r w:rsidRPr="00B02EC1">
              <w:rPr>
                <w:rStyle w:val="normaltextrun"/>
                <w:rFonts w:ascii="Twinkl" w:hAnsi="Twinkl" w:cs="Arial"/>
                <w:color w:val="000000"/>
                <w:sz w:val="20"/>
                <w:szCs w:val="20"/>
                <w:shd w:val="clear" w:color="auto" w:fill="FFFFFF"/>
              </w:rPr>
              <w:t> </w:t>
            </w:r>
          </w:p>
          <w:p w14:paraId="47E5FD65" w14:textId="683675C4" w:rsidR="00BA02B9" w:rsidRPr="00B02EC1" w:rsidRDefault="00BA02B9" w:rsidP="00BA45DC">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r w:rsidR="00067459">
              <w:rPr>
                <w:rStyle w:val="normaltextrun"/>
                <w:rFonts w:ascii="Twinkl" w:hAnsi="Twinkl" w:cs="Arial"/>
                <w:color w:val="000000"/>
                <w:sz w:val="20"/>
                <w:szCs w:val="20"/>
                <w:shd w:val="clear" w:color="auto" w:fill="FFFFFF"/>
              </w:rPr>
              <w:t xml:space="preserve">, including the specific </w:t>
            </w:r>
            <w:r w:rsidR="00783D42">
              <w:rPr>
                <w:rStyle w:val="normaltextrun"/>
                <w:rFonts w:ascii="Twinkl" w:hAnsi="Twinkl" w:cs="Arial"/>
                <w:color w:val="000000"/>
                <w:sz w:val="20"/>
                <w:szCs w:val="20"/>
                <w:shd w:val="clear" w:color="auto" w:fill="FFFFFF"/>
              </w:rPr>
              <w:t xml:space="preserve">deployment of teaching assistants within lessons. </w:t>
            </w:r>
          </w:p>
          <w:p w14:paraId="5D36F1BE" w14:textId="77777777" w:rsidR="00BA02B9" w:rsidRPr="00B02EC1" w:rsidRDefault="00BA02B9" w:rsidP="00BA45DC">
            <w:pPr>
              <w:textAlignment w:val="baseline"/>
              <w:rPr>
                <w:rFonts w:ascii="Twinkl" w:eastAsia="Times New Roman" w:hAnsi="Twinkl" w:cs="Arial"/>
                <w:color w:val="000000"/>
                <w:sz w:val="20"/>
                <w:szCs w:val="20"/>
                <w:lang w:val="en-GB" w:eastAsia="en-GB"/>
              </w:rPr>
            </w:pPr>
            <w:r w:rsidRPr="00B02EC1">
              <w:rPr>
                <w:rFonts w:ascii="Twinkl" w:eastAsia="Times New Roman" w:hAnsi="Twinkl" w:cs="Arial"/>
                <w:b/>
                <w:bCs/>
                <w:color w:val="000000"/>
                <w:sz w:val="20"/>
                <w:szCs w:val="20"/>
                <w:lang w:val="en-GB" w:eastAsia="en-GB"/>
              </w:rPr>
              <w:t>By Progressive Questioning:</w:t>
            </w:r>
            <w:r w:rsidRPr="00B02EC1">
              <w:rPr>
                <w:rFonts w:ascii="Twinkl" w:eastAsia="Times New Roman" w:hAnsi="Twinkl" w:cs="Arial"/>
                <w:color w:val="000000"/>
                <w:sz w:val="20"/>
                <w:szCs w:val="20"/>
                <w:lang w:val="en-GB" w:eastAsia="en-GB"/>
              </w:rPr>
              <w:t> exploring pupils’ understanding through interactive dialogue.</w:t>
            </w:r>
            <w:r w:rsidRPr="00B02EC1">
              <w:rPr>
                <w:rFonts w:ascii="Twinkl" w:eastAsia="Times New Roman" w:hAnsi="Twinkl" w:cs="Arial"/>
                <w:sz w:val="20"/>
                <w:szCs w:val="20"/>
                <w:lang w:val="en-GB" w:eastAsia="en-GB"/>
              </w:rPr>
              <w:t> </w:t>
            </w:r>
          </w:p>
          <w:p w14:paraId="1FE4EF00" w14:textId="0F4F02EC" w:rsidR="00BA02B9" w:rsidRPr="00B02EC1" w:rsidRDefault="00BA02B9" w:rsidP="00BA45DC">
            <w:pPr>
              <w:textAlignment w:val="baseline"/>
              <w:rPr>
                <w:rFonts w:ascii="Twinkl" w:eastAsia="Times New Roman" w:hAnsi="Twinkl" w:cs="Segoe UI"/>
                <w:sz w:val="20"/>
                <w:szCs w:val="20"/>
                <w:lang w:val="en-GB" w:eastAsia="en-GB"/>
              </w:rPr>
            </w:pPr>
            <w:r w:rsidRPr="00B02EC1">
              <w:rPr>
                <w:rFonts w:ascii="Twinkl" w:eastAsia="Times New Roman" w:hAnsi="Twinkl" w:cs="Arial"/>
                <w:b/>
                <w:bCs/>
                <w:color w:val="000000"/>
                <w:sz w:val="20"/>
                <w:szCs w:val="20"/>
                <w:lang w:val="en-GB" w:eastAsia="en-GB"/>
              </w:rPr>
              <w:t>By Grouping:</w:t>
            </w:r>
            <w:r w:rsidRPr="00B02EC1">
              <w:rPr>
                <w:rFonts w:ascii="Twinkl" w:eastAsia="Times New Roman" w:hAnsi="Twinkl" w:cs="Arial"/>
                <w:color w:val="000000"/>
                <w:sz w:val="20"/>
                <w:szCs w:val="20"/>
                <w:lang w:val="en-GB" w:eastAsia="en-GB"/>
              </w:rPr>
              <w:t> according to prior attainment, gender, social preference.</w:t>
            </w:r>
            <w:r w:rsidRPr="00B02EC1">
              <w:rPr>
                <w:rFonts w:ascii="Twinkl" w:eastAsia="Times New Roman" w:hAnsi="Twinkl" w:cs="Arial"/>
                <w:sz w:val="20"/>
                <w:szCs w:val="20"/>
                <w:lang w:val="en-GB" w:eastAsia="en-GB"/>
              </w:rPr>
              <w:t> </w:t>
            </w:r>
          </w:p>
          <w:p w14:paraId="2CB198D6" w14:textId="77777777" w:rsidR="00BA02B9" w:rsidRPr="00B02EC1" w:rsidRDefault="00BA02B9" w:rsidP="00BA45DC">
            <w:pPr>
              <w:textAlignment w:val="baseline"/>
              <w:rPr>
                <w:rFonts w:ascii="Twinkl" w:eastAsia="Times New Roman" w:hAnsi="Twinkl" w:cs="Arial"/>
                <w:sz w:val="20"/>
                <w:szCs w:val="20"/>
                <w:lang w:val="en-GB" w:eastAsia="en-GB"/>
              </w:rPr>
            </w:pPr>
            <w:r w:rsidRPr="00B02EC1">
              <w:rPr>
                <w:rFonts w:ascii="Twinkl" w:eastAsia="Times New Roman" w:hAnsi="Twinkl" w:cs="Arial"/>
                <w:b/>
                <w:bCs/>
                <w:color w:val="000000"/>
                <w:sz w:val="20"/>
                <w:szCs w:val="20"/>
                <w:lang w:val="en-GB" w:eastAsia="en-GB"/>
              </w:rPr>
              <w:t>By Task: </w:t>
            </w:r>
            <w:r w:rsidRPr="00B02EC1">
              <w:rPr>
                <w:rFonts w:ascii="Twinkl" w:eastAsia="Times New Roman" w:hAnsi="Twinkl" w:cs="Arial"/>
                <w:sz w:val="20"/>
                <w:szCs w:val="20"/>
                <w:lang w:val="en-GB" w:eastAsia="en-GB"/>
              </w:rPr>
              <w:t xml:space="preserve">Pupils should be involved in the identification of targets which are meaningful to them and in the selection of an appropriate task from the given range. </w:t>
            </w:r>
          </w:p>
          <w:p w14:paraId="7E3B9E3C" w14:textId="77777777" w:rsidR="00BA02B9" w:rsidRPr="00B02EC1" w:rsidRDefault="00BA02B9" w:rsidP="00BA45DC">
            <w:pPr>
              <w:autoSpaceDE w:val="0"/>
              <w:autoSpaceDN w:val="0"/>
              <w:adjustRightInd w:val="0"/>
              <w:rPr>
                <w:rFonts w:ascii="Twinkl" w:eastAsia="Times New Roman" w:hAnsi="Twinkl" w:cs="Arial"/>
                <w:sz w:val="20"/>
                <w:szCs w:val="20"/>
                <w:lang w:val="en-GB" w:eastAsia="en-GB"/>
              </w:rPr>
            </w:pPr>
            <w:r w:rsidRPr="00B02EC1">
              <w:rPr>
                <w:rFonts w:ascii="Twinkl" w:eastAsia="Times New Roman" w:hAnsi="Twinkl" w:cs="Arial"/>
                <w:b/>
                <w:bCs/>
                <w:color w:val="000000"/>
                <w:sz w:val="20"/>
                <w:szCs w:val="20"/>
                <w:lang w:val="en-GB" w:eastAsia="en-GB"/>
              </w:rPr>
              <w:t>By Offering Optional Activities:</w:t>
            </w:r>
            <w:r w:rsidRPr="00B02EC1">
              <w:rPr>
                <w:rFonts w:ascii="Twinkl" w:eastAsia="Times New Roman" w:hAnsi="Twinkl" w:cs="Arial"/>
                <w:color w:val="000000"/>
                <w:sz w:val="20"/>
                <w:szCs w:val="20"/>
                <w:lang w:val="en-GB" w:eastAsia="en-GB"/>
              </w:rPr>
              <w:t> In class or as homework, to extend learning.</w:t>
            </w:r>
            <w:r w:rsidRPr="00B02EC1">
              <w:rPr>
                <w:rFonts w:ascii="Twinkl" w:eastAsia="Times New Roman" w:hAnsi="Twinkl" w:cs="Arial"/>
                <w:sz w:val="20"/>
                <w:szCs w:val="20"/>
                <w:lang w:val="en-GB" w:eastAsia="en-GB"/>
              </w:rPr>
              <w:t> </w:t>
            </w:r>
          </w:p>
          <w:p w14:paraId="4D4E3B4C" w14:textId="236AB852" w:rsidR="007041FD" w:rsidRPr="00B02EC1" w:rsidRDefault="007041FD" w:rsidP="00BA45DC">
            <w:pPr>
              <w:autoSpaceDE w:val="0"/>
              <w:autoSpaceDN w:val="0"/>
              <w:adjustRightInd w:val="0"/>
              <w:rPr>
                <w:rFonts w:ascii="Twinkl" w:hAnsi="Twinkl"/>
                <w:b/>
                <w:sz w:val="20"/>
                <w:szCs w:val="20"/>
              </w:rPr>
            </w:pPr>
            <w:r w:rsidRPr="00B02EC1">
              <w:rPr>
                <w:rFonts w:ascii="Twinkl" w:eastAsia="Times New Roman" w:hAnsi="Twinkl" w:cs="Arial"/>
                <w:sz w:val="20"/>
                <w:szCs w:val="20"/>
                <w:lang w:val="en-GB" w:eastAsia="en-GB"/>
              </w:rPr>
              <w:t xml:space="preserve">This QFT/SEND provision will be explicit within the </w:t>
            </w:r>
            <w:r w:rsidR="00756B71" w:rsidRPr="00B02EC1">
              <w:rPr>
                <w:rFonts w:ascii="Twinkl" w:eastAsia="Times New Roman" w:hAnsi="Twinkl" w:cs="Arial"/>
                <w:sz w:val="20"/>
                <w:szCs w:val="20"/>
                <w:lang w:val="en-GB" w:eastAsia="en-GB"/>
              </w:rPr>
              <w:t>lesson-by-lesson</w:t>
            </w:r>
            <w:r w:rsidRPr="00B02EC1">
              <w:rPr>
                <w:rFonts w:ascii="Twinkl" w:eastAsia="Times New Roman" w:hAnsi="Twinkl" w:cs="Arial"/>
                <w:sz w:val="20"/>
                <w:szCs w:val="20"/>
                <w:lang w:val="en-GB" w:eastAsia="en-GB"/>
              </w:rPr>
              <w:t xml:space="preserve"> schemes of work.</w:t>
            </w:r>
          </w:p>
        </w:tc>
      </w:tr>
      <w:tr w:rsidR="00BA02B9" w:rsidRPr="00D83AA3" w14:paraId="4DA79953" w14:textId="77777777" w:rsidTr="00BA195F">
        <w:trPr>
          <w:trHeight w:val="1710"/>
        </w:trPr>
        <w:tc>
          <w:tcPr>
            <w:tcW w:w="2100" w:type="dxa"/>
            <w:shd w:val="clear" w:color="auto" w:fill="BFBFBF" w:themeFill="background1" w:themeFillShade="BF"/>
            <w:vAlign w:val="center"/>
          </w:tcPr>
          <w:p w14:paraId="19215041" w14:textId="637BD635" w:rsidR="00BA02B9" w:rsidRPr="00D83AA3" w:rsidRDefault="00BA02B9" w:rsidP="00BA45DC">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vAlign w:val="center"/>
          </w:tcPr>
          <w:p w14:paraId="2E109818" w14:textId="77777777" w:rsidR="00BA02B9" w:rsidRPr="00B02EC1" w:rsidRDefault="00BA02B9" w:rsidP="00BA45DC">
            <w:pPr>
              <w:textAlignment w:val="baseline"/>
              <w:rPr>
                <w:rFonts w:ascii="Twinkl" w:eastAsia="Times New Roman" w:hAnsi="Twinkl" w:cstheme="minorHAnsi"/>
                <w:sz w:val="20"/>
                <w:szCs w:val="20"/>
                <w:lang w:val="en-GB" w:eastAsia="en-GB"/>
              </w:rPr>
            </w:pPr>
          </w:p>
        </w:tc>
      </w:tr>
      <w:tr w:rsidR="00BA02B9" w:rsidRPr="00D83AA3" w14:paraId="5C9CC8E4" w14:textId="77777777" w:rsidTr="003D3535">
        <w:trPr>
          <w:trHeight w:val="642"/>
        </w:trPr>
        <w:tc>
          <w:tcPr>
            <w:tcW w:w="2100" w:type="dxa"/>
            <w:shd w:val="clear" w:color="auto" w:fill="000000" w:themeFill="text1"/>
            <w:vAlign w:val="center"/>
          </w:tcPr>
          <w:p w14:paraId="76FB1269" w14:textId="6C2FE92C" w:rsidR="00BA02B9" w:rsidRPr="00D83AA3" w:rsidRDefault="00BA02B9" w:rsidP="00BA45DC">
            <w:pPr>
              <w:jc w:val="center"/>
              <w:rPr>
                <w:rFonts w:ascii="Twinkl" w:hAnsi="Twinkl"/>
                <w:b/>
              </w:rPr>
            </w:pPr>
            <w:r w:rsidRPr="00D83AA3">
              <w:rPr>
                <w:rFonts w:ascii="Twinkl" w:hAnsi="Twinkl"/>
                <w:b/>
              </w:rPr>
              <w:t>Implementation</w:t>
            </w:r>
          </w:p>
          <w:p w14:paraId="7FA667E2" w14:textId="3B8C8F4A" w:rsidR="00BA02B9" w:rsidRPr="00D83AA3" w:rsidRDefault="00BA195F" w:rsidP="00BA45DC">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vAlign w:val="center"/>
          </w:tcPr>
          <w:p w14:paraId="78498B7A" w14:textId="51D578AC" w:rsidR="009C2439" w:rsidRPr="00B02EC1" w:rsidRDefault="009C2439" w:rsidP="00945F72">
            <w:pPr>
              <w:shd w:val="clear" w:color="auto" w:fill="FFFFFF"/>
              <w:textAlignment w:val="baseline"/>
              <w:rPr>
                <w:rFonts w:ascii="Twinkl" w:eastAsia="Times New Roman" w:hAnsi="Twinkl" w:cstheme="minorHAnsi"/>
                <w:color w:val="000000" w:themeColor="text1"/>
                <w:sz w:val="20"/>
                <w:szCs w:val="20"/>
                <w:lang w:eastAsia="en-GB"/>
              </w:rPr>
            </w:pPr>
            <w:r w:rsidRPr="00B02EC1">
              <w:rPr>
                <w:rFonts w:ascii="Twinkl" w:eastAsia="Times New Roman" w:hAnsi="Twinkl" w:cstheme="minorHAnsi"/>
                <w:color w:val="000000" w:themeColor="text1"/>
                <w:sz w:val="20"/>
                <w:szCs w:val="20"/>
                <w:lang w:eastAsia="en-GB"/>
              </w:rPr>
              <w:t>To be able to:</w:t>
            </w:r>
          </w:p>
          <w:p w14:paraId="25B8B7DA" w14:textId="77777777" w:rsidR="001307D3" w:rsidRPr="001307D3" w:rsidRDefault="001307D3"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1307D3">
              <w:rPr>
                <w:rFonts w:ascii="Twinkl" w:eastAsia="Times New Roman" w:hAnsi="Twinkl" w:cstheme="minorHAnsi"/>
                <w:color w:val="000000" w:themeColor="text1"/>
                <w:sz w:val="20"/>
                <w:szCs w:val="20"/>
                <w:lang w:val="en-GB" w:eastAsia="en-GB"/>
              </w:rPr>
              <w:t>1.1.1.a</w:t>
            </w:r>
            <w:r w:rsidRPr="001307D3">
              <w:rPr>
                <w:rFonts w:ascii="Twinkl" w:eastAsia="Times New Roman" w:hAnsi="Twinkl" w:cstheme="minorHAnsi"/>
                <w:color w:val="000000" w:themeColor="text1"/>
                <w:sz w:val="20"/>
                <w:szCs w:val="20"/>
                <w:lang w:val="en-GB" w:eastAsia="en-GB"/>
              </w:rPr>
              <w:tab/>
              <w:t>I can use the terms 'eukaryotic' and 'prokaryotic' to describe types of cells.</w:t>
            </w:r>
          </w:p>
          <w:p w14:paraId="3A71FB17" w14:textId="77777777" w:rsidR="001307D3" w:rsidRPr="001307D3" w:rsidRDefault="001307D3"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1307D3">
              <w:rPr>
                <w:rFonts w:ascii="Twinkl" w:eastAsia="Times New Roman" w:hAnsi="Twinkl" w:cstheme="minorHAnsi"/>
                <w:color w:val="000000" w:themeColor="text1"/>
                <w:sz w:val="20"/>
                <w:szCs w:val="20"/>
                <w:lang w:val="en-GB" w:eastAsia="en-GB"/>
              </w:rPr>
              <w:t>1.1.1.b</w:t>
            </w:r>
            <w:r w:rsidRPr="001307D3">
              <w:rPr>
                <w:rFonts w:ascii="Twinkl" w:eastAsia="Times New Roman" w:hAnsi="Twinkl" w:cstheme="minorHAnsi"/>
                <w:color w:val="000000" w:themeColor="text1"/>
                <w:sz w:val="20"/>
                <w:szCs w:val="20"/>
                <w:lang w:val="en-GB" w:eastAsia="en-GB"/>
              </w:rPr>
              <w:tab/>
              <w:t>I can describe the features of bacterial (prokaryotic) cells.</w:t>
            </w:r>
          </w:p>
          <w:p w14:paraId="41BA737A" w14:textId="6D9E5012" w:rsidR="001307D3" w:rsidRPr="001307D3" w:rsidRDefault="00FE382D"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D83AA3">
              <w:rPr>
                <w:rFonts w:ascii="Twinkl" w:hAnsi="Twinkl"/>
                <w:noProof/>
                <w:lang w:val="en-GB" w:eastAsia="en-GB"/>
              </w:rPr>
              <w:lastRenderedPageBreak/>
              <w:drawing>
                <wp:anchor distT="0" distB="0" distL="114300" distR="114300" simplePos="0" relativeHeight="251658241" behindDoc="1" locked="0" layoutInCell="1" allowOverlap="1" wp14:anchorId="0B72C677" wp14:editId="7EA9C04E">
                  <wp:simplePos x="0" y="0"/>
                  <wp:positionH relativeFrom="column">
                    <wp:posOffset>4966335</wp:posOffset>
                  </wp:positionH>
                  <wp:positionV relativeFrom="paragraph">
                    <wp:posOffset>-17780</wp:posOffset>
                  </wp:positionV>
                  <wp:extent cx="566420" cy="823595"/>
                  <wp:effectExtent l="0" t="0" r="5080" b="0"/>
                  <wp:wrapTight wrapText="bothSides">
                    <wp:wrapPolygon edited="0">
                      <wp:start x="0" y="0"/>
                      <wp:lineTo x="0" y="20984"/>
                      <wp:lineTo x="21067" y="20984"/>
                      <wp:lineTo x="2106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001307D3" w:rsidRPr="001307D3">
              <w:rPr>
                <w:rFonts w:ascii="Twinkl" w:eastAsia="Times New Roman" w:hAnsi="Twinkl" w:cstheme="minorHAnsi"/>
                <w:color w:val="000000" w:themeColor="text1"/>
                <w:sz w:val="20"/>
                <w:szCs w:val="20"/>
                <w:lang w:val="en-GB" w:eastAsia="en-GB"/>
              </w:rPr>
              <w:t>1.1.1.c</w:t>
            </w:r>
            <w:r w:rsidR="001307D3" w:rsidRPr="001307D3">
              <w:rPr>
                <w:rFonts w:ascii="Twinkl" w:eastAsia="Times New Roman" w:hAnsi="Twinkl" w:cstheme="minorHAnsi"/>
                <w:color w:val="000000" w:themeColor="text1"/>
                <w:sz w:val="20"/>
                <w:szCs w:val="20"/>
                <w:lang w:val="en-GB" w:eastAsia="en-GB"/>
              </w:rPr>
              <w:tab/>
              <w:t>I can demonstrate an understanding of the scale and size of cells and be able to make order of magnitude calculations, including the use of standard form.</w:t>
            </w:r>
          </w:p>
          <w:p w14:paraId="28ECEC28" w14:textId="5769135F" w:rsidR="001307D3" w:rsidRPr="001307D3" w:rsidRDefault="001307D3"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1307D3">
              <w:rPr>
                <w:rFonts w:ascii="Twinkl" w:eastAsia="Times New Roman" w:hAnsi="Twinkl" w:cstheme="minorHAnsi"/>
                <w:color w:val="000000" w:themeColor="text1"/>
                <w:sz w:val="20"/>
                <w:szCs w:val="20"/>
                <w:lang w:val="en-GB" w:eastAsia="en-GB"/>
              </w:rPr>
              <w:t>1.1.2.a</w:t>
            </w:r>
            <w:r w:rsidRPr="001307D3">
              <w:rPr>
                <w:rFonts w:ascii="Twinkl" w:eastAsia="Times New Roman" w:hAnsi="Twinkl" w:cstheme="minorHAnsi"/>
                <w:color w:val="000000" w:themeColor="text1"/>
                <w:sz w:val="20"/>
                <w:szCs w:val="20"/>
                <w:lang w:val="en-GB" w:eastAsia="en-GB"/>
              </w:rPr>
              <w:tab/>
              <w:t>I can state the structures found in animal and plant (eukaryotic) cells.</w:t>
            </w:r>
          </w:p>
          <w:p w14:paraId="242C9665" w14:textId="77777777" w:rsidR="001307D3" w:rsidRPr="001307D3" w:rsidRDefault="001307D3"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1307D3">
              <w:rPr>
                <w:rFonts w:ascii="Twinkl" w:eastAsia="Times New Roman" w:hAnsi="Twinkl" w:cstheme="minorHAnsi"/>
                <w:color w:val="000000" w:themeColor="text1"/>
                <w:sz w:val="20"/>
                <w:szCs w:val="20"/>
                <w:lang w:val="en-GB" w:eastAsia="en-GB"/>
              </w:rPr>
              <w:t>1.1.2.b</w:t>
            </w:r>
            <w:r w:rsidRPr="001307D3">
              <w:rPr>
                <w:rFonts w:ascii="Twinkl" w:eastAsia="Times New Roman" w:hAnsi="Twinkl" w:cstheme="minorHAnsi"/>
                <w:color w:val="000000" w:themeColor="text1"/>
                <w:sz w:val="20"/>
                <w:szCs w:val="20"/>
                <w:lang w:val="en-GB" w:eastAsia="en-GB"/>
              </w:rPr>
              <w:tab/>
              <w:t>I can describe the functions of the structures in animal and plant (eukaryotic) cells.</w:t>
            </w:r>
          </w:p>
          <w:p w14:paraId="5D926EB1" w14:textId="77777777" w:rsidR="001307D3" w:rsidRPr="001307D3" w:rsidRDefault="001307D3"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1307D3">
              <w:rPr>
                <w:rFonts w:ascii="Twinkl" w:eastAsia="Times New Roman" w:hAnsi="Twinkl" w:cstheme="minorHAnsi"/>
                <w:color w:val="000000" w:themeColor="text1"/>
                <w:sz w:val="20"/>
                <w:szCs w:val="20"/>
                <w:lang w:val="en-GB" w:eastAsia="en-GB"/>
              </w:rPr>
              <w:t>1.1.4.b</w:t>
            </w:r>
            <w:r w:rsidRPr="001307D3">
              <w:rPr>
                <w:rFonts w:ascii="Twinkl" w:eastAsia="Times New Roman" w:hAnsi="Twinkl" w:cstheme="minorHAnsi"/>
                <w:color w:val="000000" w:themeColor="text1"/>
                <w:sz w:val="20"/>
                <w:szCs w:val="20"/>
                <w:lang w:val="en-GB" w:eastAsia="en-GB"/>
              </w:rPr>
              <w:tab/>
              <w:t>I can describe what a specialised cell is, including examples.</w:t>
            </w:r>
          </w:p>
          <w:p w14:paraId="55AD5983" w14:textId="77777777" w:rsidR="001307D3" w:rsidRPr="001307D3" w:rsidRDefault="001307D3"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1307D3">
              <w:rPr>
                <w:rFonts w:ascii="Twinkl" w:eastAsia="Times New Roman" w:hAnsi="Twinkl" w:cstheme="minorHAnsi"/>
                <w:color w:val="000000" w:themeColor="text1"/>
                <w:sz w:val="20"/>
                <w:szCs w:val="20"/>
                <w:lang w:val="en-GB" w:eastAsia="en-GB"/>
              </w:rPr>
              <w:t>1.1.5.a</w:t>
            </w:r>
            <w:r w:rsidRPr="001307D3">
              <w:rPr>
                <w:rFonts w:ascii="Twinkl" w:eastAsia="Times New Roman" w:hAnsi="Twinkl" w:cstheme="minorHAnsi"/>
                <w:color w:val="000000" w:themeColor="text1"/>
                <w:sz w:val="20"/>
                <w:szCs w:val="20"/>
                <w:lang w:val="en-GB" w:eastAsia="en-GB"/>
              </w:rPr>
              <w:tab/>
              <w:t>I can define the terms magnification and resolution.</w:t>
            </w:r>
          </w:p>
          <w:p w14:paraId="764FCEED" w14:textId="77777777" w:rsidR="001307D3" w:rsidRPr="001307D3" w:rsidRDefault="001307D3"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1307D3">
              <w:rPr>
                <w:rFonts w:ascii="Twinkl" w:eastAsia="Times New Roman" w:hAnsi="Twinkl" w:cstheme="minorHAnsi"/>
                <w:color w:val="000000" w:themeColor="text1"/>
                <w:sz w:val="20"/>
                <w:szCs w:val="20"/>
                <w:lang w:val="en-GB" w:eastAsia="en-GB"/>
              </w:rPr>
              <w:t>1.1.5.b</w:t>
            </w:r>
            <w:r w:rsidRPr="001307D3">
              <w:rPr>
                <w:rFonts w:ascii="Twinkl" w:eastAsia="Times New Roman" w:hAnsi="Twinkl" w:cstheme="minorHAnsi"/>
                <w:color w:val="000000" w:themeColor="text1"/>
                <w:sz w:val="20"/>
                <w:szCs w:val="20"/>
                <w:lang w:val="en-GB" w:eastAsia="en-GB"/>
              </w:rPr>
              <w:tab/>
              <w:t>I can compare electron and light microscopes in terms of their magnification and resolution, including the consequences of these differences for studying cells.</w:t>
            </w:r>
          </w:p>
          <w:p w14:paraId="6EC26037" w14:textId="77777777" w:rsidR="001307D3" w:rsidRPr="001307D3" w:rsidRDefault="001307D3"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1307D3">
              <w:rPr>
                <w:rFonts w:ascii="Twinkl" w:eastAsia="Times New Roman" w:hAnsi="Twinkl" w:cstheme="minorHAnsi"/>
                <w:color w:val="000000" w:themeColor="text1"/>
                <w:sz w:val="20"/>
                <w:szCs w:val="20"/>
                <w:lang w:val="en-GB" w:eastAsia="en-GB"/>
              </w:rPr>
              <w:t>1.1.5.c</w:t>
            </w:r>
            <w:r w:rsidRPr="001307D3">
              <w:rPr>
                <w:rFonts w:ascii="Twinkl" w:eastAsia="Times New Roman" w:hAnsi="Twinkl" w:cstheme="minorHAnsi"/>
                <w:color w:val="000000" w:themeColor="text1"/>
                <w:sz w:val="20"/>
                <w:szCs w:val="20"/>
                <w:lang w:val="en-GB" w:eastAsia="en-GB"/>
              </w:rPr>
              <w:tab/>
              <w:t>I can carry out calculations involving magnification, real size and image size using the formula: magnification = size of image / size of real object, expressing answers in standard form if appropriate.</w:t>
            </w:r>
          </w:p>
          <w:p w14:paraId="31F22394" w14:textId="77777777" w:rsidR="001307D3" w:rsidRPr="001307D3" w:rsidRDefault="001307D3"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1307D3">
              <w:rPr>
                <w:rFonts w:ascii="Twinkl" w:eastAsia="Times New Roman" w:hAnsi="Twinkl" w:cstheme="minorHAnsi"/>
                <w:color w:val="000000" w:themeColor="text1"/>
                <w:sz w:val="20"/>
                <w:szCs w:val="20"/>
                <w:lang w:val="en-GB" w:eastAsia="en-GB"/>
              </w:rPr>
              <w:t>1.3.1.a</w:t>
            </w:r>
            <w:r w:rsidRPr="001307D3">
              <w:rPr>
                <w:rFonts w:ascii="Twinkl" w:eastAsia="Times New Roman" w:hAnsi="Twinkl" w:cstheme="minorHAnsi"/>
                <w:color w:val="000000" w:themeColor="text1"/>
                <w:sz w:val="20"/>
                <w:szCs w:val="20"/>
                <w:lang w:val="en-GB" w:eastAsia="en-GB"/>
              </w:rPr>
              <w:tab/>
              <w:t>I can describe the process of diffusion, including examples.</w:t>
            </w:r>
          </w:p>
          <w:p w14:paraId="314BB983" w14:textId="77777777" w:rsidR="001307D3" w:rsidRPr="001307D3" w:rsidRDefault="001307D3"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1307D3">
              <w:rPr>
                <w:rFonts w:ascii="Twinkl" w:eastAsia="Times New Roman" w:hAnsi="Twinkl" w:cstheme="minorHAnsi"/>
                <w:color w:val="000000" w:themeColor="text1"/>
                <w:sz w:val="20"/>
                <w:szCs w:val="20"/>
                <w:lang w:val="en-GB" w:eastAsia="en-GB"/>
              </w:rPr>
              <w:t>1.3.1.b</w:t>
            </w:r>
            <w:r w:rsidRPr="001307D3">
              <w:rPr>
                <w:rFonts w:ascii="Twinkl" w:eastAsia="Times New Roman" w:hAnsi="Twinkl" w:cstheme="minorHAnsi"/>
                <w:color w:val="000000" w:themeColor="text1"/>
                <w:sz w:val="20"/>
                <w:szCs w:val="20"/>
                <w:lang w:val="en-GB" w:eastAsia="en-GB"/>
              </w:rPr>
              <w:tab/>
              <w:t>I can explain how diffusion is affected by different factors.</w:t>
            </w:r>
          </w:p>
          <w:p w14:paraId="41189AC6" w14:textId="77777777" w:rsidR="001307D3" w:rsidRPr="001307D3" w:rsidRDefault="001307D3"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1307D3">
              <w:rPr>
                <w:rFonts w:ascii="Twinkl" w:eastAsia="Times New Roman" w:hAnsi="Twinkl" w:cstheme="minorHAnsi"/>
                <w:color w:val="000000" w:themeColor="text1"/>
                <w:sz w:val="20"/>
                <w:szCs w:val="20"/>
                <w:lang w:val="en-GB" w:eastAsia="en-GB"/>
              </w:rPr>
              <w:t>1.3.1.c</w:t>
            </w:r>
            <w:r w:rsidRPr="001307D3">
              <w:rPr>
                <w:rFonts w:ascii="Twinkl" w:eastAsia="Times New Roman" w:hAnsi="Twinkl" w:cstheme="minorHAnsi"/>
                <w:color w:val="000000" w:themeColor="text1"/>
                <w:sz w:val="20"/>
                <w:szCs w:val="20"/>
                <w:lang w:val="en-GB" w:eastAsia="en-GB"/>
              </w:rPr>
              <w:tab/>
              <w:t>I can explain the term “surface area to volume ratio” and how this relates to single-celled and multicellular organisms.</w:t>
            </w:r>
          </w:p>
          <w:p w14:paraId="67F68301" w14:textId="77777777" w:rsidR="001307D3" w:rsidRPr="001307D3" w:rsidRDefault="001307D3"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1307D3">
              <w:rPr>
                <w:rFonts w:ascii="Twinkl" w:eastAsia="Times New Roman" w:hAnsi="Twinkl" w:cstheme="minorHAnsi"/>
                <w:color w:val="000000" w:themeColor="text1"/>
                <w:sz w:val="20"/>
                <w:szCs w:val="20"/>
                <w:lang w:val="en-GB" w:eastAsia="en-GB"/>
              </w:rPr>
              <w:t>1.3.1.d</w:t>
            </w:r>
            <w:r w:rsidRPr="001307D3">
              <w:rPr>
                <w:rFonts w:ascii="Twinkl" w:eastAsia="Times New Roman" w:hAnsi="Twinkl" w:cstheme="minorHAnsi"/>
                <w:color w:val="000000" w:themeColor="text1"/>
                <w:sz w:val="20"/>
                <w:szCs w:val="20"/>
                <w:lang w:val="en-GB" w:eastAsia="en-GB"/>
              </w:rPr>
              <w:tab/>
              <w:t>I can calculate and compare surface area to volume ratio.</w:t>
            </w:r>
          </w:p>
          <w:p w14:paraId="770CBED6" w14:textId="77777777" w:rsidR="001307D3" w:rsidRPr="001307D3" w:rsidRDefault="001307D3"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1307D3">
              <w:rPr>
                <w:rFonts w:ascii="Twinkl" w:eastAsia="Times New Roman" w:hAnsi="Twinkl" w:cstheme="minorHAnsi"/>
                <w:color w:val="000000" w:themeColor="text1"/>
                <w:sz w:val="20"/>
                <w:szCs w:val="20"/>
                <w:lang w:val="en-GB" w:eastAsia="en-GB"/>
              </w:rPr>
              <w:t>1.3.1.e</w:t>
            </w:r>
            <w:r w:rsidRPr="001307D3">
              <w:rPr>
                <w:rFonts w:ascii="Twinkl" w:eastAsia="Times New Roman" w:hAnsi="Twinkl" w:cstheme="minorHAnsi"/>
                <w:color w:val="000000" w:themeColor="text1"/>
                <w:sz w:val="20"/>
                <w:szCs w:val="20"/>
                <w:lang w:val="en-GB" w:eastAsia="en-GB"/>
              </w:rPr>
              <w:tab/>
              <w:t>I can explain how effectiveness of an exchange surface can be increased, including examples of exchange surface adaptations.</w:t>
            </w:r>
          </w:p>
          <w:p w14:paraId="3F021326" w14:textId="77777777" w:rsidR="001307D3" w:rsidRPr="001307D3" w:rsidRDefault="001307D3"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1307D3">
              <w:rPr>
                <w:rFonts w:ascii="Twinkl" w:eastAsia="Times New Roman" w:hAnsi="Twinkl" w:cstheme="minorHAnsi"/>
                <w:color w:val="000000" w:themeColor="text1"/>
                <w:sz w:val="20"/>
                <w:szCs w:val="20"/>
                <w:lang w:val="en-GB" w:eastAsia="en-GB"/>
              </w:rPr>
              <w:t>1.3.2.a</w:t>
            </w:r>
            <w:r w:rsidRPr="001307D3">
              <w:rPr>
                <w:rFonts w:ascii="Twinkl" w:eastAsia="Times New Roman" w:hAnsi="Twinkl" w:cstheme="minorHAnsi"/>
                <w:color w:val="000000" w:themeColor="text1"/>
                <w:sz w:val="20"/>
                <w:szCs w:val="20"/>
                <w:lang w:val="en-GB" w:eastAsia="en-GB"/>
              </w:rPr>
              <w:tab/>
              <w:t>I can describe the process of osmosis</w:t>
            </w:r>
          </w:p>
          <w:p w14:paraId="4DA578F0" w14:textId="77777777" w:rsidR="001307D3" w:rsidRPr="001307D3" w:rsidRDefault="001307D3"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1307D3">
              <w:rPr>
                <w:rFonts w:ascii="Twinkl" w:eastAsia="Times New Roman" w:hAnsi="Twinkl" w:cstheme="minorHAnsi"/>
                <w:color w:val="000000" w:themeColor="text1"/>
                <w:sz w:val="20"/>
                <w:szCs w:val="20"/>
                <w:lang w:val="en-GB" w:eastAsia="en-GB"/>
              </w:rPr>
              <w:t>1.3.3.a</w:t>
            </w:r>
            <w:r w:rsidRPr="001307D3">
              <w:rPr>
                <w:rFonts w:ascii="Twinkl" w:eastAsia="Times New Roman" w:hAnsi="Twinkl" w:cstheme="minorHAnsi"/>
                <w:color w:val="000000" w:themeColor="text1"/>
                <w:sz w:val="20"/>
                <w:szCs w:val="20"/>
                <w:lang w:val="en-GB" w:eastAsia="en-GB"/>
              </w:rPr>
              <w:tab/>
              <w:t>I can describe the process of active transport, including examples</w:t>
            </w:r>
          </w:p>
          <w:p w14:paraId="601D6AC0" w14:textId="77777777" w:rsidR="001307D3" w:rsidRPr="001307D3" w:rsidRDefault="001307D3"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1307D3">
              <w:rPr>
                <w:rFonts w:ascii="Twinkl" w:eastAsia="Times New Roman" w:hAnsi="Twinkl" w:cstheme="minorHAnsi"/>
                <w:color w:val="000000" w:themeColor="text1"/>
                <w:sz w:val="20"/>
                <w:szCs w:val="20"/>
                <w:lang w:val="en-GB" w:eastAsia="en-GB"/>
              </w:rPr>
              <w:t>1.3.3.b</w:t>
            </w:r>
            <w:r w:rsidRPr="001307D3">
              <w:rPr>
                <w:rFonts w:ascii="Twinkl" w:eastAsia="Times New Roman" w:hAnsi="Twinkl" w:cstheme="minorHAnsi"/>
                <w:color w:val="000000" w:themeColor="text1"/>
                <w:sz w:val="20"/>
                <w:szCs w:val="20"/>
                <w:lang w:val="en-GB" w:eastAsia="en-GB"/>
              </w:rPr>
              <w:tab/>
              <w:t>I can explain the differences between diffusion, osmosis, and active transport.</w:t>
            </w:r>
          </w:p>
          <w:p w14:paraId="6395203D" w14:textId="77777777" w:rsidR="001307D3" w:rsidRPr="001307D3" w:rsidRDefault="001307D3"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1307D3">
              <w:rPr>
                <w:rFonts w:ascii="Twinkl" w:eastAsia="Times New Roman" w:hAnsi="Twinkl" w:cstheme="minorHAnsi"/>
                <w:color w:val="000000" w:themeColor="text1"/>
                <w:sz w:val="20"/>
                <w:szCs w:val="20"/>
                <w:lang w:val="en-GB" w:eastAsia="en-GB"/>
              </w:rPr>
              <w:t>RP.1</w:t>
            </w:r>
            <w:r w:rsidRPr="001307D3">
              <w:rPr>
                <w:rFonts w:ascii="Twinkl" w:eastAsia="Times New Roman" w:hAnsi="Twinkl" w:cstheme="minorHAnsi"/>
                <w:color w:val="000000" w:themeColor="text1"/>
                <w:sz w:val="20"/>
                <w:szCs w:val="20"/>
                <w:lang w:val="en-GB" w:eastAsia="en-GB"/>
              </w:rPr>
              <w:tab/>
              <w:t>I can use a light microscope to observe, draw and label a selection of plant and animal cells.</w:t>
            </w:r>
          </w:p>
          <w:p w14:paraId="48930E0D" w14:textId="77777777" w:rsidR="00896BE9" w:rsidRDefault="001307D3"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1307D3">
              <w:rPr>
                <w:rFonts w:ascii="Twinkl" w:eastAsia="Times New Roman" w:hAnsi="Twinkl" w:cstheme="minorHAnsi"/>
                <w:color w:val="000000" w:themeColor="text1"/>
                <w:sz w:val="20"/>
                <w:szCs w:val="20"/>
                <w:lang w:val="en-GB" w:eastAsia="en-GB"/>
              </w:rPr>
              <w:t>RP.3</w:t>
            </w:r>
            <w:r w:rsidRPr="001307D3">
              <w:rPr>
                <w:rFonts w:ascii="Twinkl" w:eastAsia="Times New Roman" w:hAnsi="Twinkl" w:cstheme="minorHAnsi"/>
                <w:color w:val="000000" w:themeColor="text1"/>
                <w:sz w:val="20"/>
                <w:szCs w:val="20"/>
                <w:lang w:val="en-GB" w:eastAsia="en-GB"/>
              </w:rPr>
              <w:tab/>
              <w:t>I can investigate the effect of salt or sugar solutions on plant tissue.</w:t>
            </w:r>
          </w:p>
          <w:p w14:paraId="23ACFC6C" w14:textId="77777777" w:rsidR="00896BE9" w:rsidRDefault="00896BE9" w:rsidP="001307D3">
            <w:pPr>
              <w:shd w:val="clear" w:color="auto" w:fill="FFFFFF"/>
              <w:textAlignment w:val="baseline"/>
              <w:rPr>
                <w:rFonts w:ascii="Twinkl" w:eastAsia="Times New Roman" w:hAnsi="Twinkl" w:cstheme="minorHAnsi"/>
                <w:color w:val="000000" w:themeColor="text1"/>
                <w:sz w:val="20"/>
                <w:szCs w:val="20"/>
                <w:lang w:val="en-GB" w:eastAsia="en-GB"/>
              </w:rPr>
            </w:pPr>
          </w:p>
          <w:p w14:paraId="2DEC4842" w14:textId="4C8EF72B" w:rsidR="009C2439" w:rsidRPr="00B02EC1" w:rsidRDefault="009C2439" w:rsidP="001307D3">
            <w:pPr>
              <w:shd w:val="clear" w:color="auto" w:fill="FFFFFF"/>
              <w:textAlignment w:val="baseline"/>
              <w:rPr>
                <w:rFonts w:ascii="Twinkl" w:eastAsia="Times New Roman" w:hAnsi="Twinkl" w:cstheme="minorHAnsi"/>
                <w:color w:val="000000" w:themeColor="text1"/>
                <w:sz w:val="20"/>
                <w:szCs w:val="20"/>
                <w:lang w:val="en-GB" w:eastAsia="en-GB"/>
              </w:rPr>
            </w:pPr>
            <w:r w:rsidRPr="00B02EC1">
              <w:rPr>
                <w:rFonts w:ascii="Twinkl" w:eastAsia="Times New Roman" w:hAnsi="Twinkl" w:cstheme="minorHAnsi"/>
                <w:color w:val="000000" w:themeColor="text1"/>
                <w:sz w:val="20"/>
                <w:szCs w:val="20"/>
                <w:lang w:val="en-GB" w:eastAsia="en-GB"/>
              </w:rPr>
              <w:t>Red denotes</w:t>
            </w:r>
            <w:r w:rsidR="00187F96" w:rsidRPr="00B02EC1">
              <w:rPr>
                <w:rFonts w:ascii="Twinkl" w:eastAsia="Times New Roman" w:hAnsi="Twinkl" w:cstheme="minorHAnsi"/>
                <w:color w:val="000000" w:themeColor="text1"/>
                <w:sz w:val="20"/>
                <w:szCs w:val="20"/>
                <w:lang w:val="en-GB" w:eastAsia="en-GB"/>
              </w:rPr>
              <w:t xml:space="preserve"> interleaving</w:t>
            </w:r>
            <w:r w:rsidR="00BE204F" w:rsidRPr="00B02EC1">
              <w:rPr>
                <w:rFonts w:ascii="Twinkl" w:eastAsia="Times New Roman" w:hAnsi="Twinkl" w:cstheme="minorHAnsi"/>
                <w:color w:val="000000" w:themeColor="text1"/>
                <w:sz w:val="20"/>
                <w:szCs w:val="20"/>
                <w:lang w:val="en-GB" w:eastAsia="en-GB"/>
              </w:rPr>
              <w:t xml:space="preserve">; </w:t>
            </w:r>
            <w:r w:rsidRPr="00B02EC1">
              <w:rPr>
                <w:rFonts w:ascii="Twinkl" w:eastAsia="Times New Roman" w:hAnsi="Twinkl" w:cstheme="minorHAnsi"/>
                <w:color w:val="000000" w:themeColor="text1"/>
                <w:sz w:val="20"/>
                <w:szCs w:val="20"/>
                <w:lang w:val="en-GB" w:eastAsia="en-GB"/>
              </w:rPr>
              <w:t xml:space="preserve">aspects of knowledge covered previously. </w:t>
            </w:r>
          </w:p>
        </w:tc>
      </w:tr>
      <w:tr w:rsidR="00BA02B9" w:rsidRPr="00D83AA3" w14:paraId="5048296D" w14:textId="77777777" w:rsidTr="00BA195F">
        <w:trPr>
          <w:trHeight w:val="1760"/>
        </w:trPr>
        <w:tc>
          <w:tcPr>
            <w:tcW w:w="2100" w:type="dxa"/>
            <w:shd w:val="clear" w:color="auto" w:fill="BFBFBF" w:themeFill="background1" w:themeFillShade="BF"/>
            <w:vAlign w:val="center"/>
          </w:tcPr>
          <w:p w14:paraId="1AC9017D" w14:textId="25A05B2E" w:rsidR="00BA02B9" w:rsidRPr="00D83AA3" w:rsidRDefault="00BA02B9" w:rsidP="00BA45DC">
            <w:pPr>
              <w:jc w:val="center"/>
              <w:rPr>
                <w:rFonts w:ascii="Twinkl" w:hAnsi="Twinkl"/>
                <w:b/>
              </w:rPr>
            </w:pPr>
            <w:r w:rsidRPr="00D83AA3">
              <w:rPr>
                <w:rFonts w:ascii="Twinkl" w:hAnsi="Twinkl"/>
                <w:b/>
              </w:rPr>
              <w:lastRenderedPageBreak/>
              <w:t>Learning Outcomes (Knowledge</w:t>
            </w:r>
            <w:r w:rsidR="00D80B59" w:rsidRPr="00D83AA3">
              <w:rPr>
                <w:rFonts w:ascii="Twinkl" w:hAnsi="Twinkl"/>
                <w:b/>
              </w:rPr>
              <w:t>)</w:t>
            </w:r>
          </w:p>
        </w:tc>
        <w:tc>
          <w:tcPr>
            <w:tcW w:w="8952" w:type="dxa"/>
            <w:vMerge/>
            <w:vAlign w:val="center"/>
          </w:tcPr>
          <w:p w14:paraId="2C4AE537" w14:textId="77777777" w:rsidR="00BA02B9" w:rsidRPr="00B02EC1" w:rsidRDefault="00BA02B9" w:rsidP="00BA45DC">
            <w:pPr>
              <w:pStyle w:val="ListParagraph"/>
              <w:ind w:left="0"/>
              <w:rPr>
                <w:rFonts w:ascii="Twinkl" w:hAnsi="Twinkl"/>
                <w:bCs/>
                <w:sz w:val="20"/>
                <w:szCs w:val="20"/>
              </w:rPr>
            </w:pPr>
          </w:p>
        </w:tc>
      </w:tr>
      <w:tr w:rsidR="00D85601" w:rsidRPr="00D83AA3" w14:paraId="34B14AE7" w14:textId="77777777" w:rsidTr="00BA195F">
        <w:trPr>
          <w:trHeight w:val="334"/>
        </w:trPr>
        <w:tc>
          <w:tcPr>
            <w:tcW w:w="2100" w:type="dxa"/>
            <w:shd w:val="clear" w:color="auto" w:fill="BFBFBF" w:themeFill="background1" w:themeFillShade="BF"/>
            <w:vAlign w:val="center"/>
          </w:tcPr>
          <w:p w14:paraId="744A56DB" w14:textId="297A2CA1" w:rsidR="00D85601" w:rsidRPr="00D83AA3" w:rsidRDefault="00144700" w:rsidP="00BA45DC">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Pr>
          <w:p w14:paraId="1E802251" w14:textId="098AA851" w:rsidR="0071084E" w:rsidRPr="006C5827" w:rsidRDefault="006C5827" w:rsidP="006C5827">
            <w:pPr>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Topics: 2 (Enzymes and Digestion), Topic 4 (Heart, Circulation and Respiration), Top</w:t>
            </w:r>
            <w:r w:rsidR="00C30DF6">
              <w:rPr>
                <w:rFonts w:ascii="Twinkl" w:eastAsia="Times New Roman" w:hAnsi="Twinkl" w:cstheme="minorHAnsi"/>
                <w:sz w:val="20"/>
                <w:szCs w:val="20"/>
                <w:lang w:val="en-GB" w:eastAsia="en-GB"/>
              </w:rPr>
              <w:t xml:space="preserve">ic 5 (DNA &amp; Inheritance), Topic 6 (Cell Division), Topic 7 (Immunology and Disease), Topic 9 (Plants and Photosynthesis), Topic 10 (Nervous System), Topic </w:t>
            </w:r>
            <w:r w:rsidR="006E07B8">
              <w:rPr>
                <w:rFonts w:ascii="Twinkl" w:eastAsia="Times New Roman" w:hAnsi="Twinkl" w:cstheme="minorHAnsi"/>
                <w:sz w:val="20"/>
                <w:szCs w:val="20"/>
                <w:lang w:val="en-GB" w:eastAsia="en-GB"/>
              </w:rPr>
              <w:t>12 (Reproduction and Genetic Engineering)</w:t>
            </w:r>
          </w:p>
        </w:tc>
      </w:tr>
      <w:tr w:rsidR="00FD68A4" w:rsidRPr="00D83AA3" w14:paraId="3B89946A" w14:textId="77777777" w:rsidTr="00BA195F">
        <w:trPr>
          <w:trHeight w:val="702"/>
        </w:trPr>
        <w:tc>
          <w:tcPr>
            <w:tcW w:w="2100" w:type="dxa"/>
            <w:shd w:val="clear" w:color="auto" w:fill="BFBFBF" w:themeFill="background1" w:themeFillShade="BF"/>
            <w:vAlign w:val="center"/>
          </w:tcPr>
          <w:p w14:paraId="38DC3054" w14:textId="4CB38277" w:rsidR="00FD68A4" w:rsidRPr="00D83AA3" w:rsidRDefault="00FD68A4" w:rsidP="00BA45DC">
            <w:pPr>
              <w:jc w:val="center"/>
              <w:rPr>
                <w:rFonts w:ascii="Twinkl" w:hAnsi="Twinkl"/>
                <w:b/>
                <w:sz w:val="28"/>
                <w:szCs w:val="28"/>
              </w:rPr>
            </w:pPr>
            <w:r>
              <w:rPr>
                <w:rFonts w:ascii="Twinkl" w:hAnsi="Twinkl"/>
                <w:b/>
              </w:rPr>
              <w:t>Assessment</w:t>
            </w:r>
          </w:p>
        </w:tc>
        <w:tc>
          <w:tcPr>
            <w:tcW w:w="8952" w:type="dxa"/>
            <w:vAlign w:val="center"/>
          </w:tcPr>
          <w:p w14:paraId="7236CDFF" w14:textId="168C41F6" w:rsidR="00FD68A4" w:rsidRPr="00B02EC1" w:rsidRDefault="00BA195F" w:rsidP="007B5C99">
            <w:pPr>
              <w:shd w:val="clear" w:color="auto" w:fill="FFFFFF"/>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Refer to a</w:t>
            </w:r>
            <w:r w:rsidR="00FD68A4" w:rsidRPr="00B02EC1">
              <w:rPr>
                <w:rFonts w:ascii="Twinkl" w:eastAsia="Times New Roman" w:hAnsi="Twinkl" w:cstheme="minorHAnsi"/>
                <w:sz w:val="20"/>
                <w:szCs w:val="20"/>
                <w:lang w:val="en-GB" w:eastAsia="en-GB"/>
              </w:rPr>
              <w:t>ssessment map</w:t>
            </w:r>
            <w:r w:rsidRPr="00B02EC1">
              <w:rPr>
                <w:rFonts w:ascii="Twinkl" w:eastAsia="Times New Roman" w:hAnsi="Twinkl" w:cstheme="minorHAnsi"/>
                <w:sz w:val="20"/>
                <w:szCs w:val="20"/>
                <w:lang w:val="en-GB" w:eastAsia="en-GB"/>
              </w:rPr>
              <w:t xml:space="preserve">s for </w:t>
            </w:r>
            <w:r w:rsidR="00BD2D60" w:rsidRPr="00B02EC1">
              <w:rPr>
                <w:rFonts w:ascii="Twinkl" w:eastAsia="Times New Roman" w:hAnsi="Twinkl" w:cstheme="minorHAnsi"/>
                <w:sz w:val="20"/>
                <w:szCs w:val="20"/>
                <w:lang w:val="en-GB" w:eastAsia="en-GB"/>
              </w:rPr>
              <w:t>formative and summative assessment opportunities.</w:t>
            </w:r>
          </w:p>
        </w:tc>
      </w:tr>
      <w:tr w:rsidR="00FD68A4" w:rsidRPr="00D83AA3" w14:paraId="41A80282" w14:textId="77777777" w:rsidTr="00FD68A4">
        <w:trPr>
          <w:trHeight w:val="399"/>
        </w:trPr>
        <w:tc>
          <w:tcPr>
            <w:tcW w:w="2100" w:type="dxa"/>
            <w:shd w:val="clear" w:color="auto" w:fill="000000" w:themeFill="text1"/>
            <w:vAlign w:val="center"/>
          </w:tcPr>
          <w:p w14:paraId="60E5E9D3" w14:textId="152F9E1C" w:rsidR="00FD68A4" w:rsidRPr="00D83AA3" w:rsidRDefault="00FD68A4" w:rsidP="007B5C99">
            <w:pPr>
              <w:jc w:val="center"/>
              <w:rPr>
                <w:rFonts w:ascii="Twinkl" w:hAnsi="Twinkl"/>
                <w:b/>
              </w:rPr>
            </w:pPr>
            <w:r>
              <w:rPr>
                <w:rFonts w:ascii="Twinkl" w:hAnsi="Twinkl"/>
                <w:b/>
              </w:rPr>
              <w:t>Impact</w:t>
            </w:r>
          </w:p>
        </w:tc>
        <w:tc>
          <w:tcPr>
            <w:tcW w:w="8952" w:type="dxa"/>
            <w:vAlign w:val="center"/>
          </w:tcPr>
          <w:p w14:paraId="6F483F0F" w14:textId="2AFF1DB6" w:rsidR="00FD68A4" w:rsidRPr="00B02EC1" w:rsidRDefault="00BA195F" w:rsidP="00BA45DC">
            <w:pPr>
              <w:pStyle w:val="ListParagraph"/>
              <w:ind w:left="0"/>
              <w:rPr>
                <w:rFonts w:ascii="Twinkl" w:hAnsi="Twinkl"/>
                <w:bCs/>
                <w:sz w:val="20"/>
                <w:szCs w:val="20"/>
              </w:rPr>
            </w:pPr>
            <w:r w:rsidRPr="00B02EC1">
              <w:rPr>
                <w:rFonts w:ascii="Twinkl" w:hAnsi="Twinkl"/>
                <w:bCs/>
                <w:sz w:val="20"/>
                <w:szCs w:val="20"/>
              </w:rPr>
              <w:t>Attainment and Progress</w:t>
            </w:r>
            <w:r w:rsidR="00BD2D60" w:rsidRPr="00B02EC1">
              <w:rPr>
                <w:rFonts w:ascii="Twinkl" w:hAnsi="Twinkl"/>
                <w:bCs/>
                <w:sz w:val="20"/>
                <w:szCs w:val="20"/>
              </w:rPr>
              <w:t xml:space="preserve"> – Refer to </w:t>
            </w:r>
            <w:r w:rsidR="00B02EC1" w:rsidRPr="00B02EC1">
              <w:rPr>
                <w:rFonts w:ascii="Twinkl" w:hAnsi="Twinkl"/>
                <w:bCs/>
                <w:sz w:val="20"/>
                <w:szCs w:val="20"/>
              </w:rPr>
              <w:t>assessment results / data review documentation.</w:t>
            </w:r>
          </w:p>
        </w:tc>
      </w:tr>
    </w:tbl>
    <w:p w14:paraId="7385669B" w14:textId="0C427C11" w:rsidR="001A2071" w:rsidRPr="00D83AA3" w:rsidRDefault="001A2071" w:rsidP="003B2F64">
      <w:pPr>
        <w:rPr>
          <w:rFonts w:ascii="Twinkl" w:hAnsi="Twinkl"/>
          <w:sz w:val="28"/>
          <w:szCs w:val="28"/>
        </w:rPr>
      </w:pPr>
    </w:p>
    <w:sectPr w:rsidR="001A2071" w:rsidRPr="00D83AA3"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C785B" w14:textId="77777777" w:rsidR="00864BF1" w:rsidRDefault="00864BF1" w:rsidP="00C40517">
      <w:r>
        <w:separator/>
      </w:r>
    </w:p>
  </w:endnote>
  <w:endnote w:type="continuationSeparator" w:id="0">
    <w:p w14:paraId="0A1D1E4D" w14:textId="77777777" w:rsidR="00864BF1" w:rsidRDefault="00864BF1" w:rsidP="00C40517">
      <w:r>
        <w:continuationSeparator/>
      </w:r>
    </w:p>
  </w:endnote>
  <w:endnote w:type="continuationNotice" w:id="1">
    <w:p w14:paraId="5EF3F953" w14:textId="77777777" w:rsidR="00864BF1" w:rsidRDefault="00864B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75F8D" w14:textId="77777777" w:rsidR="00864BF1" w:rsidRDefault="00864BF1" w:rsidP="00C40517">
      <w:r>
        <w:separator/>
      </w:r>
    </w:p>
  </w:footnote>
  <w:footnote w:type="continuationSeparator" w:id="0">
    <w:p w14:paraId="23925685" w14:textId="77777777" w:rsidR="00864BF1" w:rsidRDefault="00864BF1" w:rsidP="00C40517">
      <w:r>
        <w:continuationSeparator/>
      </w:r>
    </w:p>
  </w:footnote>
  <w:footnote w:type="continuationNotice" w:id="1">
    <w:p w14:paraId="7165E85C" w14:textId="77777777" w:rsidR="00864BF1" w:rsidRDefault="00864BF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D80A05"/>
    <w:multiLevelType w:val="hybridMultilevel"/>
    <w:tmpl w:val="1DB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861233"/>
    <w:multiLevelType w:val="hybridMultilevel"/>
    <w:tmpl w:val="AEAA5E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3"/>
  </w:num>
  <w:num w:numId="4">
    <w:abstractNumId w:val="38"/>
  </w:num>
  <w:num w:numId="5">
    <w:abstractNumId w:val="11"/>
  </w:num>
  <w:num w:numId="6">
    <w:abstractNumId w:val="16"/>
  </w:num>
  <w:num w:numId="7">
    <w:abstractNumId w:val="32"/>
  </w:num>
  <w:num w:numId="8">
    <w:abstractNumId w:val="14"/>
  </w:num>
  <w:num w:numId="9">
    <w:abstractNumId w:val="26"/>
  </w:num>
  <w:num w:numId="10">
    <w:abstractNumId w:val="0"/>
  </w:num>
  <w:num w:numId="11">
    <w:abstractNumId w:val="37"/>
  </w:num>
  <w:num w:numId="12">
    <w:abstractNumId w:val="12"/>
  </w:num>
  <w:num w:numId="13">
    <w:abstractNumId w:val="34"/>
  </w:num>
  <w:num w:numId="14">
    <w:abstractNumId w:val="7"/>
  </w:num>
  <w:num w:numId="15">
    <w:abstractNumId w:val="35"/>
  </w:num>
  <w:num w:numId="16">
    <w:abstractNumId w:val="18"/>
  </w:num>
  <w:num w:numId="17">
    <w:abstractNumId w:val="10"/>
  </w:num>
  <w:num w:numId="18">
    <w:abstractNumId w:val="22"/>
  </w:num>
  <w:num w:numId="19">
    <w:abstractNumId w:val="36"/>
  </w:num>
  <w:num w:numId="20">
    <w:abstractNumId w:val="1"/>
  </w:num>
  <w:num w:numId="21">
    <w:abstractNumId w:val="9"/>
  </w:num>
  <w:num w:numId="22">
    <w:abstractNumId w:val="15"/>
  </w:num>
  <w:num w:numId="23">
    <w:abstractNumId w:val="27"/>
  </w:num>
  <w:num w:numId="24">
    <w:abstractNumId w:val="24"/>
  </w:num>
  <w:num w:numId="25">
    <w:abstractNumId w:val="3"/>
  </w:num>
  <w:num w:numId="26">
    <w:abstractNumId w:val="30"/>
  </w:num>
  <w:num w:numId="27">
    <w:abstractNumId w:val="17"/>
  </w:num>
  <w:num w:numId="28">
    <w:abstractNumId w:val="31"/>
  </w:num>
  <w:num w:numId="29">
    <w:abstractNumId w:val="6"/>
  </w:num>
  <w:num w:numId="30">
    <w:abstractNumId w:val="5"/>
  </w:num>
  <w:num w:numId="31">
    <w:abstractNumId w:val="28"/>
  </w:num>
  <w:num w:numId="32">
    <w:abstractNumId w:val="13"/>
  </w:num>
  <w:num w:numId="33">
    <w:abstractNumId w:val="8"/>
  </w:num>
  <w:num w:numId="34">
    <w:abstractNumId w:val="19"/>
  </w:num>
  <w:num w:numId="35">
    <w:abstractNumId w:val="29"/>
  </w:num>
  <w:num w:numId="36">
    <w:abstractNumId w:val="23"/>
  </w:num>
  <w:num w:numId="37">
    <w:abstractNumId w:val="39"/>
  </w:num>
  <w:num w:numId="38">
    <w:abstractNumId w:val="25"/>
  </w:num>
  <w:num w:numId="39">
    <w:abstractNumId w:val="20"/>
  </w:num>
  <w:num w:numId="4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mirrorMargins/>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31980"/>
    <w:rsid w:val="00040A4D"/>
    <w:rsid w:val="00045D26"/>
    <w:rsid w:val="00045FE2"/>
    <w:rsid w:val="00050AF4"/>
    <w:rsid w:val="00053D58"/>
    <w:rsid w:val="00063767"/>
    <w:rsid w:val="00064F90"/>
    <w:rsid w:val="00067459"/>
    <w:rsid w:val="00072716"/>
    <w:rsid w:val="00073431"/>
    <w:rsid w:val="0007431D"/>
    <w:rsid w:val="00081294"/>
    <w:rsid w:val="00084E42"/>
    <w:rsid w:val="00090562"/>
    <w:rsid w:val="00091402"/>
    <w:rsid w:val="00093571"/>
    <w:rsid w:val="000947D1"/>
    <w:rsid w:val="00096068"/>
    <w:rsid w:val="0009714D"/>
    <w:rsid w:val="000973CE"/>
    <w:rsid w:val="000A7EC8"/>
    <w:rsid w:val="000B09FD"/>
    <w:rsid w:val="000B1A63"/>
    <w:rsid w:val="000B4866"/>
    <w:rsid w:val="000B66A0"/>
    <w:rsid w:val="000C069B"/>
    <w:rsid w:val="000C2598"/>
    <w:rsid w:val="000C3EA0"/>
    <w:rsid w:val="000D0B30"/>
    <w:rsid w:val="000D7826"/>
    <w:rsid w:val="000E05F4"/>
    <w:rsid w:val="000E10CD"/>
    <w:rsid w:val="000E1610"/>
    <w:rsid w:val="000E2AD3"/>
    <w:rsid w:val="000E2CB4"/>
    <w:rsid w:val="000E594F"/>
    <w:rsid w:val="000E63BF"/>
    <w:rsid w:val="000F44BB"/>
    <w:rsid w:val="000F66FD"/>
    <w:rsid w:val="00101B0B"/>
    <w:rsid w:val="00102627"/>
    <w:rsid w:val="00105488"/>
    <w:rsid w:val="00107047"/>
    <w:rsid w:val="00107925"/>
    <w:rsid w:val="00112F5E"/>
    <w:rsid w:val="001166B2"/>
    <w:rsid w:val="00120178"/>
    <w:rsid w:val="00122DFF"/>
    <w:rsid w:val="00122E65"/>
    <w:rsid w:val="00127DA8"/>
    <w:rsid w:val="001307D3"/>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0F51"/>
    <w:rsid w:val="00194CEB"/>
    <w:rsid w:val="001A2071"/>
    <w:rsid w:val="001A25A7"/>
    <w:rsid w:val="001A3057"/>
    <w:rsid w:val="001A539C"/>
    <w:rsid w:val="001B600C"/>
    <w:rsid w:val="001C02FD"/>
    <w:rsid w:val="001C1E29"/>
    <w:rsid w:val="001C2B59"/>
    <w:rsid w:val="001C4737"/>
    <w:rsid w:val="001E5920"/>
    <w:rsid w:val="001E7EE4"/>
    <w:rsid w:val="001F5721"/>
    <w:rsid w:val="001F707F"/>
    <w:rsid w:val="00200ECC"/>
    <w:rsid w:val="00201475"/>
    <w:rsid w:val="002025E9"/>
    <w:rsid w:val="00202FC7"/>
    <w:rsid w:val="00203357"/>
    <w:rsid w:val="00210409"/>
    <w:rsid w:val="002137DC"/>
    <w:rsid w:val="00215B93"/>
    <w:rsid w:val="00220867"/>
    <w:rsid w:val="00225BB7"/>
    <w:rsid w:val="0023003D"/>
    <w:rsid w:val="00233732"/>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86187"/>
    <w:rsid w:val="002914EE"/>
    <w:rsid w:val="00293A85"/>
    <w:rsid w:val="002B1863"/>
    <w:rsid w:val="002B3152"/>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501FF"/>
    <w:rsid w:val="00353AC4"/>
    <w:rsid w:val="00354B9D"/>
    <w:rsid w:val="0035529F"/>
    <w:rsid w:val="0036005A"/>
    <w:rsid w:val="00361053"/>
    <w:rsid w:val="0036480A"/>
    <w:rsid w:val="00365F74"/>
    <w:rsid w:val="00371884"/>
    <w:rsid w:val="00371F54"/>
    <w:rsid w:val="003740DC"/>
    <w:rsid w:val="003757D5"/>
    <w:rsid w:val="00380E4A"/>
    <w:rsid w:val="00380FED"/>
    <w:rsid w:val="00387EAA"/>
    <w:rsid w:val="00391903"/>
    <w:rsid w:val="003A43AE"/>
    <w:rsid w:val="003A5231"/>
    <w:rsid w:val="003A6607"/>
    <w:rsid w:val="003A7A90"/>
    <w:rsid w:val="003B2F64"/>
    <w:rsid w:val="003B4C75"/>
    <w:rsid w:val="003B4EB6"/>
    <w:rsid w:val="003C1B98"/>
    <w:rsid w:val="003C3EC5"/>
    <w:rsid w:val="003C7CA1"/>
    <w:rsid w:val="003D3535"/>
    <w:rsid w:val="003D6370"/>
    <w:rsid w:val="003E3FC6"/>
    <w:rsid w:val="003F0557"/>
    <w:rsid w:val="003F517B"/>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72711"/>
    <w:rsid w:val="00483BC5"/>
    <w:rsid w:val="00483C8D"/>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4296F"/>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6C2"/>
    <w:rsid w:val="005E192E"/>
    <w:rsid w:val="005E6168"/>
    <w:rsid w:val="005F0561"/>
    <w:rsid w:val="005F190D"/>
    <w:rsid w:val="005F673C"/>
    <w:rsid w:val="005F6E3F"/>
    <w:rsid w:val="005F7CF3"/>
    <w:rsid w:val="006079E4"/>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45ED"/>
    <w:rsid w:val="006C5827"/>
    <w:rsid w:val="006D13B2"/>
    <w:rsid w:val="006D2E0C"/>
    <w:rsid w:val="006D2EDB"/>
    <w:rsid w:val="006D58AC"/>
    <w:rsid w:val="006E07B8"/>
    <w:rsid w:val="006E0D54"/>
    <w:rsid w:val="006E1EDC"/>
    <w:rsid w:val="006E64C8"/>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0713"/>
    <w:rsid w:val="0075230B"/>
    <w:rsid w:val="00752F67"/>
    <w:rsid w:val="00755231"/>
    <w:rsid w:val="00755354"/>
    <w:rsid w:val="00756B71"/>
    <w:rsid w:val="00760F1B"/>
    <w:rsid w:val="0076542D"/>
    <w:rsid w:val="007658E3"/>
    <w:rsid w:val="00767A78"/>
    <w:rsid w:val="00767CE5"/>
    <w:rsid w:val="007748D3"/>
    <w:rsid w:val="00774C8C"/>
    <w:rsid w:val="00777470"/>
    <w:rsid w:val="007825F0"/>
    <w:rsid w:val="00783D42"/>
    <w:rsid w:val="00786FF1"/>
    <w:rsid w:val="007912AA"/>
    <w:rsid w:val="00792180"/>
    <w:rsid w:val="007951C7"/>
    <w:rsid w:val="007A369D"/>
    <w:rsid w:val="007B4DAC"/>
    <w:rsid w:val="007B5C99"/>
    <w:rsid w:val="007B5E26"/>
    <w:rsid w:val="007B6BC5"/>
    <w:rsid w:val="007C1A6F"/>
    <w:rsid w:val="007C5049"/>
    <w:rsid w:val="007C72A1"/>
    <w:rsid w:val="007D1C6B"/>
    <w:rsid w:val="007D266F"/>
    <w:rsid w:val="007D2906"/>
    <w:rsid w:val="007F314A"/>
    <w:rsid w:val="007F5666"/>
    <w:rsid w:val="007F7E04"/>
    <w:rsid w:val="00806018"/>
    <w:rsid w:val="0081017F"/>
    <w:rsid w:val="008201F2"/>
    <w:rsid w:val="0082136A"/>
    <w:rsid w:val="00825FFB"/>
    <w:rsid w:val="008361E5"/>
    <w:rsid w:val="00841168"/>
    <w:rsid w:val="00846BB4"/>
    <w:rsid w:val="00847457"/>
    <w:rsid w:val="008569C3"/>
    <w:rsid w:val="00861EC2"/>
    <w:rsid w:val="00861F40"/>
    <w:rsid w:val="00861F87"/>
    <w:rsid w:val="00863797"/>
    <w:rsid w:val="00864BF1"/>
    <w:rsid w:val="00864E78"/>
    <w:rsid w:val="00873C76"/>
    <w:rsid w:val="00873ED7"/>
    <w:rsid w:val="00874180"/>
    <w:rsid w:val="0087625F"/>
    <w:rsid w:val="008855DE"/>
    <w:rsid w:val="00892293"/>
    <w:rsid w:val="008947B7"/>
    <w:rsid w:val="00896BE9"/>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168E8"/>
    <w:rsid w:val="00920504"/>
    <w:rsid w:val="009217BA"/>
    <w:rsid w:val="0092399F"/>
    <w:rsid w:val="00923DB2"/>
    <w:rsid w:val="00930F83"/>
    <w:rsid w:val="0093170E"/>
    <w:rsid w:val="00932796"/>
    <w:rsid w:val="009412D9"/>
    <w:rsid w:val="0094404F"/>
    <w:rsid w:val="00945F72"/>
    <w:rsid w:val="009463FD"/>
    <w:rsid w:val="009528DF"/>
    <w:rsid w:val="00962F1D"/>
    <w:rsid w:val="00970888"/>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0CA7"/>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67083"/>
    <w:rsid w:val="00A71408"/>
    <w:rsid w:val="00A730FB"/>
    <w:rsid w:val="00A80325"/>
    <w:rsid w:val="00A8069A"/>
    <w:rsid w:val="00A84A62"/>
    <w:rsid w:val="00A9237E"/>
    <w:rsid w:val="00A972C2"/>
    <w:rsid w:val="00AA2FBC"/>
    <w:rsid w:val="00AA342D"/>
    <w:rsid w:val="00AA6328"/>
    <w:rsid w:val="00AB15FA"/>
    <w:rsid w:val="00AB18B5"/>
    <w:rsid w:val="00AB4ED4"/>
    <w:rsid w:val="00AB66B6"/>
    <w:rsid w:val="00AC2885"/>
    <w:rsid w:val="00AC4631"/>
    <w:rsid w:val="00AC66A6"/>
    <w:rsid w:val="00AD01E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1AE"/>
    <w:rsid w:val="00BE73D3"/>
    <w:rsid w:val="00BF357A"/>
    <w:rsid w:val="00BF644C"/>
    <w:rsid w:val="00C00832"/>
    <w:rsid w:val="00C013F7"/>
    <w:rsid w:val="00C02134"/>
    <w:rsid w:val="00C036C6"/>
    <w:rsid w:val="00C06ED0"/>
    <w:rsid w:val="00C07EF6"/>
    <w:rsid w:val="00C12D11"/>
    <w:rsid w:val="00C136E5"/>
    <w:rsid w:val="00C144D3"/>
    <w:rsid w:val="00C15A77"/>
    <w:rsid w:val="00C17FBE"/>
    <w:rsid w:val="00C275F9"/>
    <w:rsid w:val="00C27E28"/>
    <w:rsid w:val="00C30DF6"/>
    <w:rsid w:val="00C31356"/>
    <w:rsid w:val="00C40517"/>
    <w:rsid w:val="00C40B56"/>
    <w:rsid w:val="00C40F11"/>
    <w:rsid w:val="00C4251D"/>
    <w:rsid w:val="00C44E5D"/>
    <w:rsid w:val="00C52B40"/>
    <w:rsid w:val="00C5690C"/>
    <w:rsid w:val="00C6485D"/>
    <w:rsid w:val="00C768E1"/>
    <w:rsid w:val="00C820CB"/>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88B"/>
    <w:rsid w:val="00CD4C57"/>
    <w:rsid w:val="00CE1B30"/>
    <w:rsid w:val="00CE4D52"/>
    <w:rsid w:val="00CE5897"/>
    <w:rsid w:val="00CE736B"/>
    <w:rsid w:val="00CF0D0E"/>
    <w:rsid w:val="00CF2E79"/>
    <w:rsid w:val="00CF3860"/>
    <w:rsid w:val="00CF3C21"/>
    <w:rsid w:val="00D00141"/>
    <w:rsid w:val="00D02645"/>
    <w:rsid w:val="00D0452C"/>
    <w:rsid w:val="00D103B1"/>
    <w:rsid w:val="00D10A8C"/>
    <w:rsid w:val="00D11957"/>
    <w:rsid w:val="00D146E6"/>
    <w:rsid w:val="00D2617F"/>
    <w:rsid w:val="00D267C1"/>
    <w:rsid w:val="00D27523"/>
    <w:rsid w:val="00D3004F"/>
    <w:rsid w:val="00D301E4"/>
    <w:rsid w:val="00D3392B"/>
    <w:rsid w:val="00D33B5B"/>
    <w:rsid w:val="00D34581"/>
    <w:rsid w:val="00D3543A"/>
    <w:rsid w:val="00D42A4E"/>
    <w:rsid w:val="00D4639E"/>
    <w:rsid w:val="00D5107D"/>
    <w:rsid w:val="00D61612"/>
    <w:rsid w:val="00D63445"/>
    <w:rsid w:val="00D701C1"/>
    <w:rsid w:val="00D716A8"/>
    <w:rsid w:val="00D74E4F"/>
    <w:rsid w:val="00D80B59"/>
    <w:rsid w:val="00D8395D"/>
    <w:rsid w:val="00D83AA3"/>
    <w:rsid w:val="00D85601"/>
    <w:rsid w:val="00D91FA6"/>
    <w:rsid w:val="00D91FFC"/>
    <w:rsid w:val="00D94AC7"/>
    <w:rsid w:val="00D9744D"/>
    <w:rsid w:val="00DA4A3E"/>
    <w:rsid w:val="00DB240D"/>
    <w:rsid w:val="00DB2E9F"/>
    <w:rsid w:val="00DB59AE"/>
    <w:rsid w:val="00DC03CC"/>
    <w:rsid w:val="00DC0481"/>
    <w:rsid w:val="00DC219A"/>
    <w:rsid w:val="00DC5B58"/>
    <w:rsid w:val="00DC7070"/>
    <w:rsid w:val="00DD1247"/>
    <w:rsid w:val="00DD3778"/>
    <w:rsid w:val="00DD4CB4"/>
    <w:rsid w:val="00DE230B"/>
    <w:rsid w:val="00DE37B3"/>
    <w:rsid w:val="00DF15D2"/>
    <w:rsid w:val="00DF4E39"/>
    <w:rsid w:val="00DF710E"/>
    <w:rsid w:val="00DF7D74"/>
    <w:rsid w:val="00E01778"/>
    <w:rsid w:val="00E0315D"/>
    <w:rsid w:val="00E06D12"/>
    <w:rsid w:val="00E07B86"/>
    <w:rsid w:val="00E07E32"/>
    <w:rsid w:val="00E16B04"/>
    <w:rsid w:val="00E174D5"/>
    <w:rsid w:val="00E232C6"/>
    <w:rsid w:val="00E2718B"/>
    <w:rsid w:val="00E31AE0"/>
    <w:rsid w:val="00E336A1"/>
    <w:rsid w:val="00E348B0"/>
    <w:rsid w:val="00E3511C"/>
    <w:rsid w:val="00E529B6"/>
    <w:rsid w:val="00E641FC"/>
    <w:rsid w:val="00E741AE"/>
    <w:rsid w:val="00E74697"/>
    <w:rsid w:val="00E75432"/>
    <w:rsid w:val="00E81B9F"/>
    <w:rsid w:val="00E85EEA"/>
    <w:rsid w:val="00E8717B"/>
    <w:rsid w:val="00E92ABE"/>
    <w:rsid w:val="00E93254"/>
    <w:rsid w:val="00E939BF"/>
    <w:rsid w:val="00E940EC"/>
    <w:rsid w:val="00E97FBC"/>
    <w:rsid w:val="00EA07BB"/>
    <w:rsid w:val="00EA1C80"/>
    <w:rsid w:val="00EA276D"/>
    <w:rsid w:val="00EA616E"/>
    <w:rsid w:val="00EB06F8"/>
    <w:rsid w:val="00EB401F"/>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C83"/>
    <w:rsid w:val="00FA2CB7"/>
    <w:rsid w:val="00FB1D9D"/>
    <w:rsid w:val="00FB42A4"/>
    <w:rsid w:val="00FB4AC1"/>
    <w:rsid w:val="00FB6E32"/>
    <w:rsid w:val="00FC14F1"/>
    <w:rsid w:val="00FC4487"/>
    <w:rsid w:val="00FD68A4"/>
    <w:rsid w:val="00FE0F26"/>
    <w:rsid w:val="00FE111E"/>
    <w:rsid w:val="00FE382D"/>
    <w:rsid w:val="00FF5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Props1.xml><?xml version="1.0" encoding="utf-8"?>
<ds:datastoreItem xmlns:ds="http://schemas.openxmlformats.org/officeDocument/2006/customXml" ds:itemID="{9D4B5B7C-4000-40C5-A398-D17C283ED3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3.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4.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d3d4419c-0be6-49ec-9312-a60fa7bb70b1"/>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985</Words>
  <Characters>5619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S.Pannell</cp:lastModifiedBy>
  <cp:revision>50</cp:revision>
  <cp:lastPrinted>2022-01-21T12:35:00Z</cp:lastPrinted>
  <dcterms:created xsi:type="dcterms:W3CDTF">2022-04-05T14:38:00Z</dcterms:created>
  <dcterms:modified xsi:type="dcterms:W3CDTF">2023-06-06T09:57:00Z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