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D83AA3" w14:paraId="491C8FA4" w14:textId="1828FA99" w:rsidTr="00BA45DC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3757ECC1" w:rsidR="00E741AE" w:rsidRPr="00D83AA3" w:rsidRDefault="00F72BA4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06464994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DE451A">
              <w:rPr>
                <w:rFonts w:ascii="Twinkl" w:hAnsi="Twinkl"/>
                <w:b/>
                <w:sz w:val="36"/>
                <w:szCs w:val="40"/>
              </w:rPr>
              <w:t>10</w:t>
            </w:r>
            <w:r w:rsidR="00175C24" w:rsidRPr="00D83AA3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254CD3" w:rsidRPr="00D83AA3">
              <w:rPr>
                <w:rFonts w:ascii="Twinkl" w:hAnsi="Twinkl"/>
                <w:b/>
                <w:sz w:val="36"/>
                <w:szCs w:val="40"/>
              </w:rPr>
              <w:t>20</w:t>
            </w:r>
            <w:r w:rsidR="00535341" w:rsidRPr="00D83AA3">
              <w:rPr>
                <w:rFonts w:ascii="Twinkl" w:hAnsi="Twinkl"/>
                <w:b/>
                <w:sz w:val="36"/>
                <w:szCs w:val="40"/>
              </w:rPr>
              <w:t>2</w:t>
            </w:r>
            <w:r w:rsidR="0041270D">
              <w:rPr>
                <w:rFonts w:ascii="Twinkl" w:hAnsi="Twinkl"/>
                <w:b/>
                <w:sz w:val="36"/>
                <w:szCs w:val="40"/>
              </w:rPr>
              <w:t>3</w:t>
            </w:r>
            <w:r w:rsidR="00BE317D">
              <w:rPr>
                <w:rFonts w:ascii="Twinkl" w:hAnsi="Twinkl"/>
                <w:b/>
                <w:sz w:val="36"/>
                <w:szCs w:val="40"/>
              </w:rPr>
              <w:t>-202</w:t>
            </w:r>
            <w:r w:rsidR="0041270D">
              <w:rPr>
                <w:rFonts w:ascii="Twinkl" w:hAnsi="Twinkl"/>
                <w:b/>
                <w:sz w:val="36"/>
                <w:szCs w:val="40"/>
              </w:rPr>
              <w:t>4</w:t>
            </w:r>
            <w:r w:rsidR="00676160" w:rsidRPr="00D83AA3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200D04">
              <w:rPr>
                <w:rFonts w:ascii="Twinkl" w:hAnsi="Twinkl"/>
                <w:b/>
                <w:sz w:val="36"/>
                <w:szCs w:val="40"/>
              </w:rPr>
              <w:t>SUMMER</w:t>
            </w:r>
            <w:r w:rsidR="00387EAA" w:rsidRPr="00D83AA3">
              <w:rPr>
                <w:rFonts w:ascii="Twinkl" w:hAnsi="Twinkl"/>
                <w:b/>
                <w:sz w:val="36"/>
                <w:szCs w:val="40"/>
              </w:rPr>
              <w:t xml:space="preserve"> TERM</w:t>
            </w:r>
          </w:p>
          <w:p w14:paraId="71E97DEA" w14:textId="749FDD06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14:paraId="77227CDF" w14:textId="3528A0C2" w:rsidR="006B672F" w:rsidRPr="00D83AA3" w:rsidRDefault="006B672F" w:rsidP="00B02EC1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200D04">
              <w:rPr>
                <w:rFonts w:ascii="Twinkl" w:hAnsi="Twinkl"/>
                <w:b/>
                <w:sz w:val="32"/>
                <w:szCs w:val="32"/>
              </w:rPr>
              <w:t>–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7B4DAC" w:rsidRPr="00D83AA3">
              <w:rPr>
                <w:rFonts w:ascii="Twinkl" w:hAnsi="Twinkl"/>
                <w:b/>
                <w:sz w:val="32"/>
                <w:szCs w:val="32"/>
              </w:rPr>
              <w:t>Topi</w:t>
            </w:r>
            <w:r w:rsidR="00200D04">
              <w:rPr>
                <w:rFonts w:ascii="Twinkl" w:hAnsi="Twinkl"/>
                <w:b/>
                <w:sz w:val="32"/>
                <w:szCs w:val="32"/>
              </w:rPr>
              <w:t>c: Hospitality and catering in action</w:t>
            </w:r>
          </w:p>
        </w:tc>
      </w:tr>
      <w:tr w:rsidR="001A3057" w:rsidRPr="00D83AA3" w14:paraId="6E82A71D" w14:textId="77777777" w:rsidTr="00152F20">
        <w:trPr>
          <w:trHeight w:val="297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3A966584" w14:textId="776D1AED" w:rsidR="001A3057" w:rsidRDefault="001A3057" w:rsidP="0036480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In addition to working further on objectives from Year </w:t>
            </w:r>
            <w:r w:rsidR="00200D04">
              <w:rPr>
                <w:rFonts w:cstheme="minorHAnsi"/>
                <w:b/>
                <w:bCs/>
                <w:sz w:val="20"/>
                <w:szCs w:val="20"/>
              </w:rPr>
              <w:t>10 Autumn and Spring terms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14:paraId="2FAEF45A" w14:textId="65E0FD14" w:rsidR="00057457" w:rsidRDefault="00057457" w:rsidP="0036480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0359E70C" w14:textId="5058D17B" w:rsidR="00057457" w:rsidRPr="00B02EC1" w:rsidRDefault="007405BA" w:rsidP="0005745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2.1 – Summer 1</w:t>
            </w:r>
          </w:p>
          <w:p w14:paraId="7494B829" w14:textId="5FDDFE0E" w:rsidR="001A3057" w:rsidRDefault="00883732" w:rsidP="00883732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The Eatwell Guide and Dietary Guidelines</w:t>
            </w:r>
            <w:r w:rsidR="00D412C6"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 xml:space="preserve"> with general principles of a healthy diet, following on from year 8 and 9 information studied</w:t>
            </w:r>
          </w:p>
          <w:p w14:paraId="6268535F" w14:textId="6E22A728" w:rsidR="00D412C6" w:rsidRDefault="00675491" w:rsidP="00883732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Nutrients and functions in the body</w:t>
            </w:r>
          </w:p>
          <w:p w14:paraId="44D5CEE8" w14:textId="233C1BA5" w:rsidR="00245CC8" w:rsidRDefault="00245CC8" w:rsidP="00883732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Protein – functions, sources, deficiency, excess</w:t>
            </w:r>
          </w:p>
          <w:p w14:paraId="53FD5298" w14:textId="56F562C7" w:rsidR="00245CC8" w:rsidRDefault="00245CC8" w:rsidP="00883732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Carbohydrate – functions, sources, deficiencies, excess</w:t>
            </w:r>
          </w:p>
          <w:p w14:paraId="1EDB3ECB" w14:textId="68604E6B" w:rsidR="00245CC8" w:rsidRDefault="00245CC8" w:rsidP="00883732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Fats – functions, sources, excess and diet related illnesses from excess</w:t>
            </w:r>
          </w:p>
          <w:p w14:paraId="51AD55B5" w14:textId="44343743" w:rsidR="005D1FD8" w:rsidRDefault="005D1FD8" w:rsidP="00883732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Vitamins – functions, sources, deficiency, excess</w:t>
            </w:r>
            <w:r w:rsidR="00F75BC9"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 xml:space="preserve"> and effect of cooking/preparation</w:t>
            </w:r>
          </w:p>
          <w:p w14:paraId="044BC9DE" w14:textId="779CF45B" w:rsidR="005D1FD8" w:rsidRDefault="005D1FD8" w:rsidP="00883732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Minerals – functions, sources, deficiency, excess</w:t>
            </w:r>
          </w:p>
          <w:p w14:paraId="5B573966" w14:textId="4D0FD7C8" w:rsidR="00E66EF2" w:rsidRDefault="00E66EF2" w:rsidP="00883732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 xml:space="preserve">Special diets </w:t>
            </w:r>
            <w:r w:rsidR="006A08F8"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for different food choices and medical conditions</w:t>
            </w:r>
          </w:p>
          <w:p w14:paraId="7CFEB752" w14:textId="0AB0706E" w:rsidR="00CD182D" w:rsidRDefault="006A08F8" w:rsidP="00E138A5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Nutritional needs for different activity levels</w:t>
            </w:r>
          </w:p>
          <w:p w14:paraId="2DD5E163" w14:textId="6DF5528F" w:rsidR="00057457" w:rsidRDefault="00057457" w:rsidP="00E138A5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How cooking methods affect nutrients in food</w:t>
            </w:r>
          </w:p>
          <w:p w14:paraId="2498D476" w14:textId="128D332E" w:rsidR="00F868F4" w:rsidRDefault="007405BA" w:rsidP="007405BA">
            <w:p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2.2</w:t>
            </w:r>
          </w:p>
          <w:p w14:paraId="4DF12B1A" w14:textId="5EF0C77D" w:rsidR="007405BA" w:rsidRDefault="007405BA" w:rsidP="007405BA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Factors affecting meal planning</w:t>
            </w:r>
          </w:p>
          <w:p w14:paraId="5621F647" w14:textId="19AD65E2" w:rsidR="00ED4936" w:rsidRDefault="00ED4936" w:rsidP="007405BA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Menus and menu styles</w:t>
            </w:r>
          </w:p>
          <w:p w14:paraId="2C2A49FF" w14:textId="01F7D3F0" w:rsidR="00ED4936" w:rsidRDefault="00ED4936" w:rsidP="007405BA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 xml:space="preserve">Food, </w:t>
            </w:r>
            <w:proofErr w:type="gramStart"/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environment</w:t>
            </w:r>
            <w:proofErr w:type="gramEnd"/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 xml:space="preserve"> and climate change</w:t>
            </w:r>
          </w:p>
          <w:p w14:paraId="1B8A5364" w14:textId="3BFF2616" w:rsidR="00ED4936" w:rsidRDefault="00ED4936" w:rsidP="007405BA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Carbon footprint of production</w:t>
            </w:r>
          </w:p>
          <w:p w14:paraId="4664FDDF" w14:textId="3D52B7CD" w:rsidR="00ED4936" w:rsidRDefault="00ED4936" w:rsidP="007405BA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Planning menus to have minimal impact on the environment</w:t>
            </w:r>
          </w:p>
          <w:p w14:paraId="4CA6B15B" w14:textId="11B3628F" w:rsidR="00ED4936" w:rsidRDefault="00D54997" w:rsidP="007405BA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Meeting customer needs</w:t>
            </w:r>
          </w:p>
          <w:p w14:paraId="40A4079F" w14:textId="5FBCC958" w:rsidR="00D54997" w:rsidRDefault="00D54997" w:rsidP="00D54997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Organoleptic proper</w:t>
            </w:r>
            <w:r w:rsidR="00FD7D44"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ties</w:t>
            </w:r>
          </w:p>
          <w:p w14:paraId="68852955" w14:textId="4413B3EF" w:rsidR="00FD7D44" w:rsidRPr="0077417C" w:rsidRDefault="00FD7D44" w:rsidP="00FD7D44">
            <w:p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b/>
                <w:bCs/>
                <w:color w:val="000000"/>
                <w:sz w:val="20"/>
                <w:szCs w:val="20"/>
                <w:lang w:val="en-GB" w:eastAsia="fr-FR"/>
              </w:rPr>
            </w:pPr>
            <w:r w:rsidRPr="0077417C">
              <w:rPr>
                <w:rFonts w:ascii="Twinkl" w:eastAsia="Times New Roman" w:hAnsi="Twinkl" w:cs="Calibri"/>
                <w:b/>
                <w:bCs/>
                <w:color w:val="000000"/>
                <w:sz w:val="20"/>
                <w:szCs w:val="20"/>
                <w:lang w:val="en-GB" w:eastAsia="fr-FR"/>
              </w:rPr>
              <w:t>2.3 – Summer 2</w:t>
            </w:r>
          </w:p>
          <w:p w14:paraId="42EAB27D" w14:textId="0FD9FF81" w:rsidR="00FD7D44" w:rsidRDefault="00C241EE" w:rsidP="00FD7D44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How to prepare and make dishes</w:t>
            </w:r>
          </w:p>
          <w:p w14:paraId="392BA380" w14:textId="3E7328D2" w:rsidR="00C241EE" w:rsidRDefault="00C241EE" w:rsidP="00FD7D44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Preparation techniques – basic, medium, complex</w:t>
            </w:r>
          </w:p>
          <w:p w14:paraId="62F1D4CE" w14:textId="018D9DB7" w:rsidR="00C241EE" w:rsidRDefault="00C241EE" w:rsidP="00FD7D44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Knife techniques</w:t>
            </w:r>
          </w:p>
          <w:p w14:paraId="30E8303A" w14:textId="3B316083" w:rsidR="00C241EE" w:rsidRDefault="00C241EE" w:rsidP="00FD7D44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Cooking methods</w:t>
            </w:r>
          </w:p>
          <w:p w14:paraId="70505D99" w14:textId="2B1FE445" w:rsidR="00C241EE" w:rsidRDefault="00C241EE" w:rsidP="00FD7D44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Presentation techniqu</w:t>
            </w:r>
            <w:r w:rsidR="0077417C"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e</w:t>
            </w: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s</w:t>
            </w:r>
          </w:p>
          <w:p w14:paraId="468A5017" w14:textId="7AFD7165" w:rsidR="00C241EE" w:rsidRDefault="00C241EE" w:rsidP="00FD7D44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Food safety practices</w:t>
            </w:r>
          </w:p>
          <w:p w14:paraId="67F424CD" w14:textId="096924DA" w:rsidR="00C241EE" w:rsidRPr="00FD7D44" w:rsidRDefault="00C241EE" w:rsidP="00FD7D44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Evaluating cooking skills</w:t>
            </w:r>
          </w:p>
          <w:p w14:paraId="489746C4" w14:textId="32307BD3" w:rsidR="001A3057" w:rsidRPr="00345350" w:rsidRDefault="001A3057" w:rsidP="00345350">
            <w:pPr>
              <w:pStyle w:val="ListParagraph"/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</w:p>
        </w:tc>
      </w:tr>
      <w:tr w:rsidR="001A3057" w:rsidRPr="00D83AA3" w14:paraId="27CAE940" w14:textId="77777777" w:rsidTr="00BA195F">
        <w:trPr>
          <w:trHeight w:val="4525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54C6F2B5" w14:textId="54B9CBA7" w:rsidR="001A3057" w:rsidRPr="00D83AA3" w:rsidRDefault="003A5231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</w:t>
            </w:r>
            <w:r w:rsidR="00A62813">
              <w:rPr>
                <w:rFonts w:ascii="Twinkl" w:hAnsi="Twinkl"/>
                <w:b/>
              </w:rPr>
              <w:t>/Assessment Objective</w:t>
            </w:r>
            <w:r w:rsidR="000B09FD">
              <w:rPr>
                <w:rFonts w:ascii="Twinkl" w:hAnsi="Twinkl"/>
                <w:b/>
              </w:rPr>
              <w:t xml:space="preserve"> Links</w:t>
            </w:r>
          </w:p>
        </w:tc>
        <w:tc>
          <w:tcPr>
            <w:tcW w:w="8952" w:type="dxa"/>
            <w:vMerge/>
            <w:vAlign w:val="center"/>
          </w:tcPr>
          <w:p w14:paraId="66B0CD90" w14:textId="77777777" w:rsidR="001A3057" w:rsidRPr="00B02EC1" w:rsidRDefault="001A3057" w:rsidP="00BA45DC">
            <w:p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</w:p>
        </w:tc>
      </w:tr>
      <w:tr w:rsidR="00665355" w:rsidRPr="00D83AA3" w14:paraId="71CE3CD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952" w:type="dxa"/>
            <w:vAlign w:val="center"/>
          </w:tcPr>
          <w:p w14:paraId="648D2CEE" w14:textId="45298E59" w:rsidR="00A457A1" w:rsidRPr="000B1A33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bCs/>
                <w:sz w:val="20"/>
                <w:szCs w:val="20"/>
                <w:lang w:val="en-GB"/>
              </w:rPr>
            </w:pPr>
            <w:r w:rsidRPr="000B1A33">
              <w:rPr>
                <w:rFonts w:ascii="Twinkl" w:hAnsi="Twinkl"/>
                <w:b/>
                <w:sz w:val="20"/>
                <w:szCs w:val="20"/>
              </w:rPr>
              <w:t>SMSC</w:t>
            </w:r>
            <w:r w:rsidRPr="000B1A33">
              <w:rPr>
                <w:rFonts w:ascii="Twinkl" w:hAnsi="Twinkl"/>
                <w:bCs/>
                <w:sz w:val="20"/>
                <w:szCs w:val="20"/>
              </w:rPr>
              <w:t xml:space="preserve">: </w:t>
            </w:r>
            <w:r w:rsidR="00E7741B" w:rsidRPr="000B1A33">
              <w:rPr>
                <w:rFonts w:ascii="Twinkl" w:hAnsi="Twinkl"/>
                <w:bCs/>
                <w:sz w:val="20"/>
                <w:szCs w:val="20"/>
              </w:rPr>
              <w:t>Consideration of others when carrying out practical work, helping others where possible, working as a cooperative team in unit areas</w:t>
            </w:r>
            <w:r w:rsidR="005771D0" w:rsidRPr="000B1A33">
              <w:rPr>
                <w:rFonts w:ascii="Twinkl" w:hAnsi="Twinkl"/>
                <w:bCs/>
                <w:sz w:val="20"/>
                <w:szCs w:val="20"/>
              </w:rPr>
              <w:t>.</w:t>
            </w:r>
            <w:r w:rsidR="0077417C">
              <w:rPr>
                <w:rFonts w:ascii="Twinkl" w:hAnsi="Twinkl"/>
                <w:bCs/>
                <w:sz w:val="20"/>
                <w:szCs w:val="20"/>
              </w:rPr>
              <w:t xml:space="preserve"> Being aware of the constraints for some people in achieving a healthy diet.</w:t>
            </w:r>
          </w:p>
          <w:p w14:paraId="17018E3D" w14:textId="169A2E9B" w:rsidR="00A457A1" w:rsidRPr="000B1A33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theme="minorHAnsi"/>
                <w:bCs/>
                <w:sz w:val="20"/>
                <w:szCs w:val="20"/>
              </w:rPr>
            </w:pPr>
            <w:r w:rsidRPr="000B1A33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0B1A33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Pr="000B1A33">
              <w:rPr>
                <w:rFonts w:ascii="Twinkl" w:hAnsi="Twinkl"/>
                <w:bCs/>
                <w:sz w:val="20"/>
                <w:szCs w:val="20"/>
              </w:rPr>
              <w:t xml:space="preserve">: </w:t>
            </w:r>
            <w:r w:rsidRPr="000B1A33">
              <w:rPr>
                <w:rFonts w:ascii="Twinkl" w:eastAsia="Times New Roman" w:hAnsi="Twinkl" w:cs="Arial"/>
                <w:bCs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771D0" w:rsidRPr="000B1A33">
              <w:rPr>
                <w:rFonts w:ascii="Twinkl" w:eastAsia="Times New Roman" w:hAnsi="Twinkl" w:cs="Arial"/>
                <w:bCs/>
                <w:color w:val="000000"/>
                <w:sz w:val="20"/>
                <w:szCs w:val="20"/>
                <w:lang w:eastAsia="en-GB"/>
              </w:rPr>
              <w:t xml:space="preserve">Taking responsibility for personal health and wellbeing, being aware of what makes a healthy diet and the effects of </w:t>
            </w:r>
            <w:r w:rsidR="00BA792D" w:rsidRPr="000B1A33">
              <w:rPr>
                <w:rFonts w:ascii="Twinkl" w:eastAsia="Times New Roman" w:hAnsi="Twinkl" w:cs="Arial"/>
                <w:bCs/>
                <w:color w:val="000000"/>
                <w:sz w:val="20"/>
                <w:szCs w:val="20"/>
                <w:lang w:eastAsia="en-GB"/>
              </w:rPr>
              <w:t>nutritional deficiency and excess.</w:t>
            </w:r>
            <w:r w:rsidR="0077417C">
              <w:rPr>
                <w:rFonts w:ascii="Twinkl" w:eastAsia="Times New Roman" w:hAnsi="Twinkl" w:cs="Arial"/>
                <w:bCs/>
                <w:color w:val="000000"/>
                <w:sz w:val="20"/>
                <w:szCs w:val="20"/>
                <w:lang w:eastAsia="en-GB"/>
              </w:rPr>
              <w:t xml:space="preserve"> Understand the importance of providing customers with healthy choices.</w:t>
            </w:r>
          </w:p>
          <w:p w14:paraId="46F64BFE" w14:textId="66305C83" w:rsidR="00A50387" w:rsidRPr="000B1A33" w:rsidRDefault="00A50387" w:rsidP="00A457A1">
            <w:pPr>
              <w:autoSpaceDE w:val="0"/>
              <w:autoSpaceDN w:val="0"/>
              <w:adjustRightInd w:val="0"/>
              <w:rPr>
                <w:rFonts w:ascii="Twinkl" w:hAnsi="Twinkl" w:cs="Arial"/>
                <w:bCs/>
                <w:sz w:val="20"/>
                <w:szCs w:val="20"/>
              </w:rPr>
            </w:pPr>
            <w:r w:rsidRPr="000B1A33">
              <w:rPr>
                <w:rFonts w:ascii="Twinkl" w:hAnsi="Twinkl" w:cs="Arial"/>
                <w:b/>
                <w:sz w:val="20"/>
                <w:szCs w:val="20"/>
              </w:rPr>
              <w:t>Skills Builder</w:t>
            </w:r>
            <w:r w:rsidRPr="000B1A33">
              <w:rPr>
                <w:rFonts w:ascii="Twinkl" w:hAnsi="Twinkl" w:cs="Arial"/>
                <w:bCs/>
                <w:sz w:val="20"/>
                <w:szCs w:val="20"/>
              </w:rPr>
              <w:t>:</w:t>
            </w:r>
            <w:r w:rsidR="00BA792D" w:rsidRPr="000B1A33">
              <w:rPr>
                <w:rFonts w:ascii="Twinkl" w:hAnsi="Twinkl" w:cs="Arial"/>
                <w:bCs/>
                <w:sz w:val="20"/>
                <w:szCs w:val="20"/>
              </w:rPr>
              <w:t xml:space="preserve"> weighing, measuring, personal hygiene, use of equipment, </w:t>
            </w:r>
            <w:r w:rsidR="000B1A33" w:rsidRPr="000B1A33">
              <w:rPr>
                <w:rFonts w:ascii="Twinkl" w:hAnsi="Twinkl" w:cs="Arial"/>
                <w:bCs/>
                <w:sz w:val="20"/>
                <w:szCs w:val="20"/>
              </w:rPr>
              <w:t xml:space="preserve">organization, time management </w:t>
            </w:r>
          </w:p>
        </w:tc>
      </w:tr>
      <w:tr w:rsidR="000E05F4" w:rsidRPr="00D83AA3" w14:paraId="165097A2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952" w:type="dxa"/>
            <w:vAlign w:val="center"/>
          </w:tcPr>
          <w:p w14:paraId="4A0E0131" w14:textId="3DA5119D" w:rsidR="000E05F4" w:rsidRPr="000B1A33" w:rsidRDefault="00345350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0B1A33">
              <w:rPr>
                <w:rFonts w:ascii="Twinkl" w:hAnsi="Twinkl"/>
                <w:bCs/>
                <w:sz w:val="20"/>
                <w:szCs w:val="20"/>
              </w:rPr>
              <w:t xml:space="preserve">Accurate weighing, measuring, use of hob and oven for temperature control, </w:t>
            </w:r>
            <w:r w:rsidR="00784241" w:rsidRPr="000B1A33">
              <w:rPr>
                <w:rFonts w:ascii="Twinkl" w:hAnsi="Twinkl"/>
                <w:bCs/>
                <w:sz w:val="20"/>
                <w:szCs w:val="20"/>
              </w:rPr>
              <w:t>figures for reference nutrient intakes for each nutrient, ability to modify amounts of ingredients for recipes, portion control in practical work</w:t>
            </w:r>
            <w:r w:rsidR="0077417C">
              <w:rPr>
                <w:rFonts w:ascii="Twinkl" w:hAnsi="Twinkl"/>
                <w:bCs/>
                <w:sz w:val="20"/>
                <w:szCs w:val="20"/>
              </w:rPr>
              <w:t xml:space="preserve">. Use of charts/graphs and scales to evaluate practical work, </w:t>
            </w:r>
            <w:proofErr w:type="gramStart"/>
            <w:r w:rsidR="0077417C">
              <w:rPr>
                <w:rFonts w:ascii="Twinkl" w:hAnsi="Twinkl"/>
                <w:bCs/>
                <w:sz w:val="20"/>
                <w:szCs w:val="20"/>
              </w:rPr>
              <w:t>e.g.</w:t>
            </w:r>
            <w:proofErr w:type="gramEnd"/>
            <w:r w:rsidR="0077417C">
              <w:rPr>
                <w:rFonts w:ascii="Twinkl" w:hAnsi="Twinkl"/>
                <w:bCs/>
                <w:sz w:val="20"/>
                <w:szCs w:val="20"/>
              </w:rPr>
              <w:t xml:space="preserve"> a star profile and hedonic scale.</w:t>
            </w:r>
          </w:p>
        </w:tc>
      </w:tr>
      <w:tr w:rsidR="00E8717B" w:rsidRPr="00D83AA3" w14:paraId="442C482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952" w:type="dxa"/>
            <w:vAlign w:val="center"/>
          </w:tcPr>
          <w:p w14:paraId="0862D819" w14:textId="5EDEA7AA" w:rsidR="00E8717B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2:</w:t>
            </w:r>
            <w:r w:rsidR="00784241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531FC9" w:rsidRPr="001A1058">
              <w:rPr>
                <w:rFonts w:ascii="Twinkl" w:hAnsi="Twinkl"/>
                <w:bCs/>
                <w:sz w:val="20"/>
                <w:szCs w:val="20"/>
              </w:rPr>
              <w:t>follow, weigh, measure, reduce, add, mix,</w:t>
            </w:r>
            <w:r w:rsidR="001A1058" w:rsidRPr="001A1058">
              <w:rPr>
                <w:rFonts w:ascii="Twinkl" w:hAnsi="Twinkl"/>
                <w:bCs/>
                <w:sz w:val="20"/>
                <w:szCs w:val="20"/>
              </w:rPr>
              <w:t xml:space="preserve"> health, disease</w:t>
            </w:r>
            <w:r w:rsidR="001A1058">
              <w:rPr>
                <w:rFonts w:ascii="Twinkl" w:hAnsi="Twinkl"/>
                <w:bCs/>
                <w:sz w:val="20"/>
                <w:szCs w:val="20"/>
              </w:rPr>
              <w:t>, cook, clean, diet, recipes, meals, cost</w:t>
            </w:r>
            <w:r w:rsidR="003B0913">
              <w:rPr>
                <w:rFonts w:ascii="Twinkl" w:hAnsi="Twinkl"/>
                <w:bCs/>
                <w:sz w:val="20"/>
                <w:szCs w:val="20"/>
              </w:rPr>
              <w:t>, modify, adapt, change</w:t>
            </w:r>
            <w:r w:rsidR="0077417C">
              <w:rPr>
                <w:rFonts w:ascii="Twinkl" w:hAnsi="Twinkl"/>
                <w:bCs/>
                <w:sz w:val="20"/>
                <w:szCs w:val="20"/>
              </w:rPr>
              <w:t xml:space="preserve">, </w:t>
            </w:r>
            <w:r w:rsidR="00AD3CAC">
              <w:rPr>
                <w:rFonts w:ascii="Twinkl" w:hAnsi="Twinkl"/>
                <w:bCs/>
                <w:sz w:val="20"/>
                <w:szCs w:val="20"/>
              </w:rPr>
              <w:t xml:space="preserve">basic, medium, complex. Temperatures, presentation, instructions, garnishes, </w:t>
            </w:r>
            <w:r w:rsidR="00C631B0">
              <w:rPr>
                <w:rFonts w:ascii="Twinkl" w:hAnsi="Twinkl"/>
                <w:bCs/>
                <w:sz w:val="20"/>
                <w:szCs w:val="20"/>
              </w:rPr>
              <w:t>accompaniments, evaluate/evaluation, review</w:t>
            </w:r>
          </w:p>
          <w:p w14:paraId="6E1F490C" w14:textId="6CF41781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3:</w:t>
            </w:r>
            <w:r w:rsidR="001A1058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660C23">
              <w:rPr>
                <w:rFonts w:ascii="Twinkl" w:hAnsi="Twinkl"/>
                <w:bCs/>
                <w:sz w:val="20"/>
                <w:szCs w:val="20"/>
              </w:rPr>
              <w:t>roux, tempering, dehydrating, crimping, laminating, mou</w:t>
            </w:r>
            <w:r w:rsidR="00C666B3">
              <w:rPr>
                <w:rFonts w:ascii="Twinkl" w:hAnsi="Twinkl"/>
                <w:bCs/>
                <w:sz w:val="20"/>
                <w:szCs w:val="20"/>
              </w:rPr>
              <w:t>l</w:t>
            </w:r>
            <w:r w:rsidR="00660C23">
              <w:rPr>
                <w:rFonts w:ascii="Twinkl" w:hAnsi="Twinkl"/>
                <w:bCs/>
                <w:sz w:val="20"/>
                <w:szCs w:val="20"/>
              </w:rPr>
              <w:t xml:space="preserve">ding, aeration, </w:t>
            </w:r>
            <w:r w:rsidR="00C06FC2">
              <w:rPr>
                <w:rFonts w:ascii="Twinkl" w:hAnsi="Twinkl"/>
                <w:bCs/>
                <w:sz w:val="20"/>
                <w:szCs w:val="20"/>
              </w:rPr>
              <w:t>julienne, brunoise, mi</w:t>
            </w:r>
            <w:r w:rsidR="00C666B3">
              <w:rPr>
                <w:rFonts w:ascii="Twinkl" w:hAnsi="Twinkl"/>
                <w:bCs/>
                <w:sz w:val="20"/>
                <w:szCs w:val="20"/>
              </w:rPr>
              <w:t>n</w:t>
            </w:r>
            <w:r w:rsidR="00C06FC2">
              <w:rPr>
                <w:rFonts w:ascii="Twinkl" w:hAnsi="Twinkl"/>
                <w:bCs/>
                <w:sz w:val="20"/>
                <w:szCs w:val="20"/>
              </w:rPr>
              <w:t xml:space="preserve">cing, deboning, filleting, segmenting, baking blind, caramelization, emulsifying, </w:t>
            </w:r>
            <w:r w:rsidR="00C666B3">
              <w:rPr>
                <w:rFonts w:ascii="Twinkl" w:hAnsi="Twinkl"/>
                <w:bCs/>
                <w:sz w:val="20"/>
                <w:szCs w:val="20"/>
              </w:rPr>
              <w:t>poaching</w:t>
            </w:r>
            <w:r w:rsidR="00C06FC2">
              <w:rPr>
                <w:rFonts w:ascii="Twinkl" w:hAnsi="Twinkl"/>
                <w:bCs/>
                <w:sz w:val="20"/>
                <w:szCs w:val="20"/>
              </w:rPr>
              <w:t xml:space="preserve">, </w:t>
            </w:r>
            <w:r w:rsidR="00A7636D">
              <w:rPr>
                <w:rFonts w:ascii="Twinkl" w:hAnsi="Twinkl"/>
                <w:bCs/>
                <w:sz w:val="20"/>
                <w:szCs w:val="20"/>
              </w:rPr>
              <w:t>blending</w:t>
            </w:r>
            <w:r w:rsidR="00452200">
              <w:rPr>
                <w:rFonts w:ascii="Twinkl" w:hAnsi="Twinkl"/>
                <w:bCs/>
                <w:sz w:val="20"/>
                <w:szCs w:val="20"/>
              </w:rPr>
              <w:t>, beating, grating, hydrating, marinating, marinade, proving, sieving</w:t>
            </w:r>
            <w:r w:rsidR="00B34CA0">
              <w:rPr>
                <w:rFonts w:ascii="Twinkl" w:hAnsi="Twinkl"/>
                <w:bCs/>
                <w:sz w:val="20"/>
                <w:szCs w:val="20"/>
              </w:rPr>
              <w:t>, tenderisers, zesting, kneading, folding, rolling, p</w:t>
            </w:r>
            <w:r w:rsidR="00A7636D">
              <w:rPr>
                <w:rFonts w:ascii="Twinkl" w:hAnsi="Twinkl"/>
                <w:bCs/>
                <w:sz w:val="20"/>
                <w:szCs w:val="20"/>
              </w:rPr>
              <w:t>u</w:t>
            </w:r>
            <w:r w:rsidR="00B34CA0">
              <w:rPr>
                <w:rFonts w:ascii="Twinkl" w:hAnsi="Twinkl"/>
                <w:bCs/>
                <w:sz w:val="20"/>
                <w:szCs w:val="20"/>
              </w:rPr>
              <w:t>reeing</w:t>
            </w:r>
            <w:r w:rsidR="00A7636D">
              <w:rPr>
                <w:rFonts w:ascii="Twinkl" w:hAnsi="Twinkl"/>
                <w:bCs/>
                <w:sz w:val="20"/>
                <w:szCs w:val="20"/>
              </w:rPr>
              <w:t xml:space="preserve">, skinning, toasting, crimping, </w:t>
            </w:r>
          </w:p>
          <w:p w14:paraId="16A63B09" w14:textId="382D76A7" w:rsidR="00962F1D" w:rsidRPr="00D8395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784241" w:rsidRPr="005C0EA2">
              <w:rPr>
                <w:rFonts w:ascii="Twinkl" w:hAnsi="Twinkl"/>
                <w:bCs/>
                <w:sz w:val="20"/>
                <w:szCs w:val="20"/>
              </w:rPr>
              <w:t>textbook, fact sheets, PowerPoints, recipes</w:t>
            </w:r>
          </w:p>
          <w:p w14:paraId="4220345F" w14:textId="09E6C045" w:rsidR="00962F1D" w:rsidRPr="006B368B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lastRenderedPageBreak/>
              <w:t>Writing:</w:t>
            </w:r>
            <w:r w:rsidR="005C0EA2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5C0EA2" w:rsidRPr="006B368B">
              <w:rPr>
                <w:rFonts w:ascii="Twinkl" w:hAnsi="Twinkl"/>
                <w:bCs/>
                <w:sz w:val="20"/>
                <w:szCs w:val="20"/>
              </w:rPr>
              <w:t xml:space="preserve">answers in booklets, instructional writing, evaluations, extended writing, </w:t>
            </w:r>
            <w:r w:rsidR="006B368B" w:rsidRPr="006B368B">
              <w:rPr>
                <w:rFonts w:ascii="Twinkl" w:hAnsi="Twinkl"/>
                <w:bCs/>
                <w:sz w:val="20"/>
                <w:szCs w:val="20"/>
              </w:rPr>
              <w:t>long response exam essays</w:t>
            </w:r>
          </w:p>
          <w:p w14:paraId="08DA9254" w14:textId="68E2E7DB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6B368B" w:rsidRPr="006B368B">
              <w:rPr>
                <w:rFonts w:ascii="Twinkl" w:hAnsi="Twinkl"/>
                <w:bCs/>
                <w:sz w:val="20"/>
                <w:szCs w:val="20"/>
              </w:rPr>
              <w:t>answering questions, giving opinions, evaluating own and other’s work</w:t>
            </w:r>
          </w:p>
        </w:tc>
      </w:tr>
      <w:tr w:rsidR="002D5DFE" w:rsidRPr="00D83AA3" w14:paraId="55B110B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lastRenderedPageBreak/>
              <w:t>Becoming future ready</w:t>
            </w:r>
          </w:p>
        </w:tc>
        <w:tc>
          <w:tcPr>
            <w:tcW w:w="8952" w:type="dxa"/>
            <w:vAlign w:val="center"/>
          </w:tcPr>
          <w:p w14:paraId="78BBBF91" w14:textId="34D35537" w:rsidR="002D5DFE" w:rsidRPr="00B02EC1" w:rsidRDefault="003D3535" w:rsidP="002D5DFE">
            <w:pP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B02EC1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784241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food preparation roles, </w:t>
            </w:r>
            <w:r w:rsidR="009D2B7A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product development technologist, food manufacturing technician</w:t>
            </w:r>
          </w:p>
        </w:tc>
      </w:tr>
      <w:tr w:rsidR="00BA02B9" w:rsidRPr="00D83AA3" w14:paraId="4D45A554" w14:textId="77777777" w:rsidTr="00BA45DC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394A93E4" w:rsidR="00BA02B9" w:rsidRPr="00B02EC1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t>By product</w:t>
            </w:r>
            <w:r w:rsidRPr="00784241">
              <w:rPr>
                <w:rFonts w:ascii="Twinkl" w:hAnsi="Twinkl" w:cstheme="minorHAnsi"/>
                <w:bCs/>
                <w:sz w:val="20"/>
                <w:szCs w:val="20"/>
              </w:rPr>
              <w:t xml:space="preserve">: </w:t>
            </w:r>
            <w:r w:rsidR="00784241" w:rsidRPr="00784241">
              <w:rPr>
                <w:rFonts w:ascii="Twinkl" w:hAnsi="Twinkl" w:cstheme="minorHAnsi"/>
                <w:bCs/>
                <w:sz w:val="20"/>
                <w:szCs w:val="20"/>
              </w:rPr>
              <w:t>through practical work food products will vary in standard and quality depending on ability and support provided</w:t>
            </w:r>
            <w:r w:rsidR="009D2B7A">
              <w:rPr>
                <w:rFonts w:ascii="Twinkl" w:hAnsi="Twinkl" w:cstheme="minorHAnsi"/>
                <w:bCs/>
                <w:sz w:val="20"/>
                <w:szCs w:val="20"/>
              </w:rPr>
              <w:t>, some pupils may have a TA</w:t>
            </w:r>
          </w:p>
          <w:p w14:paraId="05DE9AD1" w14:textId="5F8866FE" w:rsidR="00BA02B9" w:rsidRPr="00784241" w:rsidRDefault="00BA02B9" w:rsidP="00784241">
            <w:pPr>
              <w:pStyle w:val="ListParagraph"/>
              <w:ind w:left="0"/>
              <w:rPr>
                <w:rStyle w:val="eop"/>
                <w:rFonts w:ascii="Twinkl" w:hAnsi="Twink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>By resource:</w:t>
            </w:r>
            <w:r w:rsidR="00784241" w:rsidRPr="00784241">
              <w:rPr>
                <w:rFonts w:ascii="Twinkl" w:hAnsi="Twinkl" w:cstheme="minorHAnsi"/>
                <w:b/>
                <w:sz w:val="20"/>
                <w:szCs w:val="20"/>
              </w:rPr>
              <w:t xml:space="preserve"> </w:t>
            </w:r>
            <w:r w:rsidR="00784241" w:rsidRPr="00784241">
              <w:rPr>
                <w:rFonts w:ascii="Twinkl" w:hAnsi="Twinkl" w:cs="Arial"/>
                <w:bCs/>
                <w:color w:val="000000"/>
                <w:sz w:val="20"/>
                <w:szCs w:val="20"/>
                <w:shd w:val="clear" w:color="auto" w:fill="FFFFFF"/>
              </w:rPr>
              <w:t>Booklets and factsheets provide stretch and challenge and scaffolding, word banks, literacy booklets</w:t>
            </w:r>
            <w:r w:rsidR="009D2B7A">
              <w:rPr>
                <w:rFonts w:ascii="Twinkl" w:hAnsi="Twinkl" w:cs="Arial"/>
                <w:bCs/>
                <w:color w:val="000000"/>
                <w:sz w:val="20"/>
                <w:szCs w:val="20"/>
                <w:shd w:val="clear" w:color="auto" w:fill="FFFFFF"/>
              </w:rPr>
              <w:t xml:space="preserve">. The course textbook provides differentiated activities and practical work will be divided up into basic, </w:t>
            </w:r>
            <w:proofErr w:type="gramStart"/>
            <w:r w:rsidR="009D2B7A">
              <w:rPr>
                <w:rFonts w:ascii="Twinkl" w:hAnsi="Twinkl" w:cs="Arial"/>
                <w:bCs/>
                <w:color w:val="000000"/>
                <w:sz w:val="20"/>
                <w:szCs w:val="20"/>
                <w:shd w:val="clear" w:color="auto" w:fill="FFFFFF"/>
              </w:rPr>
              <w:t>medium</w:t>
            </w:r>
            <w:proofErr w:type="gramEnd"/>
            <w:r w:rsidR="009D2B7A">
              <w:rPr>
                <w:rFonts w:ascii="Twinkl" w:hAnsi="Twinkl" w:cs="Arial"/>
                <w:bCs/>
                <w:color w:val="000000"/>
                <w:sz w:val="20"/>
                <w:szCs w:val="20"/>
                <w:shd w:val="clear" w:color="auto" w:fill="FFFFFF"/>
              </w:rPr>
              <w:t xml:space="preserve"> and complex skills with more able pupils being encouraged to select only complex skills.</w:t>
            </w:r>
          </w:p>
          <w:p w14:paraId="47E5FD65" w14:textId="30BADBB4" w:rsidR="00BA02B9" w:rsidRPr="009D2B7A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  <w:r w:rsidR="0078424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="00784241">
              <w:rPr>
                <w:rStyle w:val="normaltextrun"/>
              </w:rPr>
              <w:t xml:space="preserve"> </w:t>
            </w:r>
            <w:r w:rsidR="00784241" w:rsidRPr="009D2B7A">
              <w:rPr>
                <w:rStyle w:val="normaltextrun"/>
                <w:sz w:val="20"/>
                <w:szCs w:val="20"/>
              </w:rPr>
              <w:t xml:space="preserve">especially with practical activities </w:t>
            </w:r>
          </w:p>
          <w:p w14:paraId="5D36F1BE" w14:textId="770F67D8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</w:t>
            </w:r>
            <w:r w:rsidR="00513ECB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 xml:space="preserve"> including in metacognition starters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A354938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</w:t>
            </w:r>
            <w:r w:rsidR="00513ECB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will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be involved in the identification of targets which are meaningful to them and in the selection of an appropriate task from the given range. </w:t>
            </w:r>
          </w:p>
          <w:p w14:paraId="7E3B9E3C" w14:textId="0814D5D5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  <w:r w:rsidR="00513ECB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Recipes will be provided on Doddle to encourage practical practice at home. Pupils will be encouraged to present the meals they make at home as a full meal, meeting the requ</w:t>
            </w:r>
            <w:r w:rsidR="00EC0A27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irements of the Eatwell Guide and Dietary Guidelines. They will be asked to reflect on their own and family’s diet</w:t>
            </w:r>
            <w:r w:rsidR="00E01127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and suggest modifications.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00BA195F">
        <w:trPr>
          <w:trHeight w:val="171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003D3535">
        <w:trPr>
          <w:trHeight w:val="642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952" w:type="dxa"/>
            <w:vMerge w:val="restart"/>
            <w:vAlign w:val="center"/>
          </w:tcPr>
          <w:p w14:paraId="78498B7A" w14:textId="51D578AC" w:rsidR="009C2439" w:rsidRPr="00B02EC1" w:rsidRDefault="009C2439" w:rsidP="00945F72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14:paraId="6F131914" w14:textId="2904FBE1" w:rsidR="00BA02B9" w:rsidRPr="00331541" w:rsidRDefault="00E2692E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</w:pPr>
            <w:r w:rsidRPr="00331541"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  <w:t>Carry out practical work safely and hygienically</w:t>
            </w:r>
          </w:p>
          <w:p w14:paraId="3FB7E74B" w14:textId="4A6B87E1" w:rsidR="00E2692E" w:rsidRPr="00331541" w:rsidRDefault="00E2692E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</w:pPr>
            <w:r w:rsidRPr="00331541"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  <w:t>Demonstrate good time management and organisation in practical work</w:t>
            </w:r>
          </w:p>
          <w:p w14:paraId="45FB630C" w14:textId="3C6F2EB0" w:rsidR="009C2439" w:rsidRPr="00331541" w:rsidRDefault="00E2692E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</w:pPr>
            <w:r w:rsidRPr="00331541"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  <w:t>Produce good quality, well finished food products and know how they can be served as a full meal following the guidance of the Eatwell Guide and dietary guidelines</w:t>
            </w:r>
          </w:p>
          <w:p w14:paraId="105EE344" w14:textId="3807469A" w:rsidR="00B74C92" w:rsidRDefault="00B74C92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Complete BASIC practical skills – ALL</w:t>
            </w:r>
          </w:p>
          <w:p w14:paraId="12A3F1F1" w14:textId="34EA83F7" w:rsidR="00B74C92" w:rsidRDefault="00B74C92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Complete medium level practical skills – MOST</w:t>
            </w:r>
          </w:p>
          <w:p w14:paraId="1DE4B465" w14:textId="5E418D91" w:rsidR="00B74C92" w:rsidRDefault="00B74C92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Complete complex practical skills – SOME</w:t>
            </w:r>
          </w:p>
          <w:p w14:paraId="58F77778" w14:textId="6CFCFBC7" w:rsidR="00B74C92" w:rsidRDefault="0096284C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Consider the needs of the customer when planning menus</w:t>
            </w:r>
          </w:p>
          <w:p w14:paraId="4053E59F" w14:textId="7FC85CC6" w:rsidR="0096284C" w:rsidRPr="00A37461" w:rsidRDefault="00717E4A" w:rsidP="00A37461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C</w:t>
            </w:r>
            <w:r w:rsidRPr="00A3746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onsider cost when planning menus and be able to adapt to reduce cost</w:t>
            </w:r>
          </w:p>
          <w:p w14:paraId="142697E4" w14:textId="7B71A48A" w:rsidR="00717E4A" w:rsidRDefault="00717E4A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Describe organoleptic qualities of dishes made</w:t>
            </w:r>
          </w:p>
          <w:p w14:paraId="51C24D0D" w14:textId="17F7A140" w:rsidR="00717E4A" w:rsidRDefault="00A37461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Explain how to meet nutritional needs</w:t>
            </w:r>
          </w:p>
          <w:p w14:paraId="11F1CD46" w14:textId="449C21CC" w:rsidR="00A37461" w:rsidRDefault="00A37461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F072E2"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  <w:t>Know how to reduce the impact on the environment when cooking</w:t>
            </w:r>
          </w:p>
          <w:p w14:paraId="34C97157" w14:textId="74B74CE5" w:rsidR="00A37461" w:rsidRDefault="00C33721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Serve dishes with appropriate accompaniments and garnishes</w:t>
            </w:r>
          </w:p>
          <w:p w14:paraId="370DEE4B" w14:textId="5A5E3F4E" w:rsidR="00C33721" w:rsidRPr="00F072E2" w:rsidRDefault="00C33721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</w:pPr>
            <w:r w:rsidRPr="00F072E2"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  <w:t xml:space="preserve">Reflect on own performance and </w:t>
            </w:r>
            <w:r w:rsidR="00F072E2" w:rsidRPr="00F072E2"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  <w:t>the quality of own products</w:t>
            </w:r>
          </w:p>
          <w:p w14:paraId="6CAF878C" w14:textId="4C7BAF77" w:rsidR="00F072E2" w:rsidRPr="00F072E2" w:rsidRDefault="00F072E2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</w:pPr>
            <w:r w:rsidRPr="00F072E2"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  <w:t>Carry out evaluations on own performance and own products</w:t>
            </w:r>
          </w:p>
          <w:p w14:paraId="775D7EDF" w14:textId="5343EC20" w:rsidR="00F072E2" w:rsidRDefault="00F072E2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Carry out sensory analysis and write up results</w:t>
            </w:r>
          </w:p>
          <w:p w14:paraId="6FC66369" w14:textId="77777777" w:rsidR="00F072E2" w:rsidRDefault="00F072E2" w:rsidP="00F072E2">
            <w:pPr>
              <w:pStyle w:val="ListParagraph"/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</w:p>
          <w:p w14:paraId="2DEC4842" w14:textId="42B9F124" w:rsidR="009C2439" w:rsidRPr="00B02EC1" w:rsidRDefault="009C2439" w:rsidP="009C243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="00187F96"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="00BE204F"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="00BA02B9" w:rsidRPr="00D83AA3" w14:paraId="5048296D" w14:textId="77777777" w:rsidTr="00BA195F">
        <w:trPr>
          <w:trHeight w:val="176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AC9017D" w14:textId="25A05B2E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Learning Outcomes (Knowledge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1E802251" w14:textId="1380DDBA" w:rsidR="003A52AF" w:rsidRPr="00F072E2" w:rsidRDefault="00F072E2" w:rsidP="00F072E2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Practical skills learned in this section will be applied to own choice of dishes in the coursework in Year 11.</w:t>
            </w:r>
          </w:p>
        </w:tc>
      </w:tr>
      <w:tr w:rsidR="00FD68A4" w:rsidRPr="00D83AA3" w14:paraId="3B89946A" w14:textId="77777777" w:rsidTr="00BA195F">
        <w:trPr>
          <w:trHeight w:val="702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952" w:type="dxa"/>
            <w:vAlign w:val="center"/>
          </w:tcPr>
          <w:p w14:paraId="7236CDFF" w14:textId="168C41F6" w:rsidR="00FD68A4" w:rsidRPr="00B02EC1" w:rsidRDefault="00BA195F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Refer to a</w:t>
            </w:r>
            <w:r w:rsidR="00FD68A4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s for </w:t>
            </w:r>
            <w:r w:rsidR="00BD2D60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</w:tc>
      </w:tr>
      <w:tr w:rsidR="00FD68A4" w:rsidRPr="00D83AA3" w14:paraId="41A80282" w14:textId="77777777" w:rsidTr="00FD68A4">
        <w:trPr>
          <w:trHeight w:val="399"/>
        </w:trPr>
        <w:tc>
          <w:tcPr>
            <w:tcW w:w="2100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952" w:type="dxa"/>
            <w:vAlign w:val="center"/>
          </w:tcPr>
          <w:p w14:paraId="6F483F0F" w14:textId="2AFF1DB6" w:rsidR="00FD68A4" w:rsidRPr="00B02EC1" w:rsidRDefault="00BA195F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="00BD2D60" w:rsidRPr="00B02EC1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="00B02EC1" w:rsidRP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14:paraId="7385669B" w14:textId="0095DECE" w:rsidR="001A2071" w:rsidRPr="00D83AA3" w:rsidRDefault="00B02EC1" w:rsidP="003B2F64">
      <w:pPr>
        <w:rPr>
          <w:rFonts w:ascii="Twinkl" w:hAnsi="Twinkl"/>
          <w:sz w:val="28"/>
          <w:szCs w:val="28"/>
        </w:rPr>
      </w:pPr>
      <w:r w:rsidRPr="00D83AA3">
        <w:rPr>
          <w:rFonts w:ascii="Twinkl" w:hAnsi="Twinkl"/>
          <w:noProof/>
          <w:lang w:val="en-GB" w:eastAsia="en-GB"/>
        </w:rPr>
        <w:drawing>
          <wp:anchor distT="0" distB="0" distL="114300" distR="114300" simplePos="0" relativeHeight="251658241" behindDoc="0" locked="0" layoutInCell="1" allowOverlap="1" wp14:anchorId="0B72C677" wp14:editId="418B0801">
            <wp:simplePos x="0" y="0"/>
            <wp:positionH relativeFrom="column">
              <wp:posOffset>6440170</wp:posOffset>
            </wp:positionH>
            <wp:positionV relativeFrom="paragraph">
              <wp:posOffset>49</wp:posOffset>
            </wp:positionV>
            <wp:extent cx="566420" cy="823595"/>
            <wp:effectExtent l="0" t="0" r="508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420" cy="823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BFA1B" w14:textId="77777777" w:rsidR="005E078D" w:rsidRDefault="005E078D" w:rsidP="00C40517">
      <w:r>
        <w:separator/>
      </w:r>
    </w:p>
  </w:endnote>
  <w:endnote w:type="continuationSeparator" w:id="0">
    <w:p w14:paraId="531B8B6D" w14:textId="77777777" w:rsidR="005E078D" w:rsidRDefault="005E078D" w:rsidP="00C40517">
      <w:r>
        <w:continuationSeparator/>
      </w:r>
    </w:p>
  </w:endnote>
  <w:endnote w:type="continuationNotice" w:id="1">
    <w:p w14:paraId="16526075" w14:textId="77777777" w:rsidR="005E078D" w:rsidRDefault="005E07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E0B2F" w14:textId="77777777" w:rsidR="005E078D" w:rsidRDefault="005E078D" w:rsidP="00C40517">
      <w:r>
        <w:separator/>
      </w:r>
    </w:p>
  </w:footnote>
  <w:footnote w:type="continuationSeparator" w:id="0">
    <w:p w14:paraId="29098B83" w14:textId="77777777" w:rsidR="005E078D" w:rsidRDefault="005E078D" w:rsidP="00C40517">
      <w:r>
        <w:continuationSeparator/>
      </w:r>
    </w:p>
  </w:footnote>
  <w:footnote w:type="continuationNotice" w:id="1">
    <w:p w14:paraId="3F35578F" w14:textId="77777777" w:rsidR="005E078D" w:rsidRDefault="005E078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D4861"/>
    <w:multiLevelType w:val="hybridMultilevel"/>
    <w:tmpl w:val="F65CB1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83101"/>
    <w:multiLevelType w:val="hybridMultilevel"/>
    <w:tmpl w:val="06903D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F583453"/>
    <w:multiLevelType w:val="multilevel"/>
    <w:tmpl w:val="2AD6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88A662B"/>
    <w:multiLevelType w:val="hybridMultilevel"/>
    <w:tmpl w:val="A76EB35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80E3EB7"/>
    <w:multiLevelType w:val="hybridMultilevel"/>
    <w:tmpl w:val="7A6AC3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99E3247"/>
    <w:multiLevelType w:val="multilevel"/>
    <w:tmpl w:val="1220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BD80A05"/>
    <w:multiLevelType w:val="hybridMultilevel"/>
    <w:tmpl w:val="1DB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0912E5A"/>
    <w:multiLevelType w:val="hybridMultilevel"/>
    <w:tmpl w:val="BF268E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CD4220"/>
    <w:multiLevelType w:val="hybridMultilevel"/>
    <w:tmpl w:val="15E8E5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063A1A"/>
    <w:multiLevelType w:val="hybridMultilevel"/>
    <w:tmpl w:val="857662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206A7B"/>
    <w:multiLevelType w:val="hybridMultilevel"/>
    <w:tmpl w:val="8480B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53578F"/>
    <w:multiLevelType w:val="hybridMultilevel"/>
    <w:tmpl w:val="B30C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E64735"/>
    <w:multiLevelType w:val="hybridMultilevel"/>
    <w:tmpl w:val="0A70EB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C5023F"/>
    <w:multiLevelType w:val="hybridMultilevel"/>
    <w:tmpl w:val="9ED005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2873936">
    <w:abstractNumId w:val="4"/>
  </w:num>
  <w:num w:numId="2" w16cid:durableId="1738552537">
    <w:abstractNumId w:val="2"/>
  </w:num>
  <w:num w:numId="3" w16cid:durableId="1176571964">
    <w:abstractNumId w:val="35"/>
  </w:num>
  <w:num w:numId="4" w16cid:durableId="824391384">
    <w:abstractNumId w:val="40"/>
  </w:num>
  <w:num w:numId="5" w16cid:durableId="1880900735">
    <w:abstractNumId w:val="11"/>
  </w:num>
  <w:num w:numId="6" w16cid:durableId="1082871644">
    <w:abstractNumId w:val="16"/>
  </w:num>
  <w:num w:numId="7" w16cid:durableId="1580096993">
    <w:abstractNumId w:val="34"/>
  </w:num>
  <w:num w:numId="8" w16cid:durableId="793792736">
    <w:abstractNumId w:val="14"/>
  </w:num>
  <w:num w:numId="9" w16cid:durableId="2099255616">
    <w:abstractNumId w:val="28"/>
  </w:num>
  <w:num w:numId="10" w16cid:durableId="483932556">
    <w:abstractNumId w:val="0"/>
  </w:num>
  <w:num w:numId="11" w16cid:durableId="137111289">
    <w:abstractNumId w:val="39"/>
  </w:num>
  <w:num w:numId="12" w16cid:durableId="1917090712">
    <w:abstractNumId w:val="12"/>
  </w:num>
  <w:num w:numId="13" w16cid:durableId="2061050333">
    <w:abstractNumId w:val="36"/>
  </w:num>
  <w:num w:numId="14" w16cid:durableId="722556224">
    <w:abstractNumId w:val="7"/>
  </w:num>
  <w:num w:numId="15" w16cid:durableId="1736972505">
    <w:abstractNumId w:val="37"/>
  </w:num>
  <w:num w:numId="16" w16cid:durableId="1283343906">
    <w:abstractNumId w:val="19"/>
  </w:num>
  <w:num w:numId="17" w16cid:durableId="890073865">
    <w:abstractNumId w:val="10"/>
  </w:num>
  <w:num w:numId="18" w16cid:durableId="1682662866">
    <w:abstractNumId w:val="22"/>
  </w:num>
  <w:num w:numId="19" w16cid:durableId="484049557">
    <w:abstractNumId w:val="38"/>
  </w:num>
  <w:num w:numId="20" w16cid:durableId="2075809180">
    <w:abstractNumId w:val="1"/>
  </w:num>
  <w:num w:numId="21" w16cid:durableId="1600600410">
    <w:abstractNumId w:val="9"/>
  </w:num>
  <w:num w:numId="22" w16cid:durableId="797332172">
    <w:abstractNumId w:val="15"/>
  </w:num>
  <w:num w:numId="23" w16cid:durableId="1921058857">
    <w:abstractNumId w:val="29"/>
  </w:num>
  <w:num w:numId="24" w16cid:durableId="1216355709">
    <w:abstractNumId w:val="26"/>
  </w:num>
  <w:num w:numId="25" w16cid:durableId="37366898">
    <w:abstractNumId w:val="3"/>
  </w:num>
  <w:num w:numId="26" w16cid:durableId="1458838986">
    <w:abstractNumId w:val="32"/>
  </w:num>
  <w:num w:numId="27" w16cid:durableId="77336525">
    <w:abstractNumId w:val="17"/>
  </w:num>
  <w:num w:numId="28" w16cid:durableId="396320776">
    <w:abstractNumId w:val="33"/>
  </w:num>
  <w:num w:numId="29" w16cid:durableId="135294409">
    <w:abstractNumId w:val="6"/>
  </w:num>
  <w:num w:numId="30" w16cid:durableId="2000768009">
    <w:abstractNumId w:val="5"/>
  </w:num>
  <w:num w:numId="31" w16cid:durableId="581842926">
    <w:abstractNumId w:val="30"/>
  </w:num>
  <w:num w:numId="32" w16cid:durableId="1249389455">
    <w:abstractNumId w:val="13"/>
  </w:num>
  <w:num w:numId="33" w16cid:durableId="1155874113">
    <w:abstractNumId w:val="8"/>
  </w:num>
  <w:num w:numId="34" w16cid:durableId="232129130">
    <w:abstractNumId w:val="20"/>
  </w:num>
  <w:num w:numId="35" w16cid:durableId="1983074844">
    <w:abstractNumId w:val="31"/>
  </w:num>
  <w:num w:numId="36" w16cid:durableId="2097902353">
    <w:abstractNumId w:val="23"/>
  </w:num>
  <w:num w:numId="37" w16cid:durableId="1078482650">
    <w:abstractNumId w:val="41"/>
  </w:num>
  <w:num w:numId="38" w16cid:durableId="759066754">
    <w:abstractNumId w:val="27"/>
  </w:num>
  <w:num w:numId="39" w16cid:durableId="1316446469">
    <w:abstractNumId w:val="21"/>
  </w:num>
  <w:num w:numId="40" w16cid:durableId="458568725">
    <w:abstractNumId w:val="25"/>
  </w:num>
  <w:num w:numId="41" w16cid:durableId="1815874112">
    <w:abstractNumId w:val="18"/>
  </w:num>
  <w:num w:numId="42" w16cid:durableId="984621882">
    <w:abstractNumId w:val="2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mirrorMargins/>
  <w:proofState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2731C"/>
    <w:rsid w:val="00027B37"/>
    <w:rsid w:val="00040A4D"/>
    <w:rsid w:val="00045D26"/>
    <w:rsid w:val="00045FE2"/>
    <w:rsid w:val="00050AF4"/>
    <w:rsid w:val="00053D58"/>
    <w:rsid w:val="00057457"/>
    <w:rsid w:val="00063767"/>
    <w:rsid w:val="00064F90"/>
    <w:rsid w:val="00072716"/>
    <w:rsid w:val="00073431"/>
    <w:rsid w:val="0007431D"/>
    <w:rsid w:val="00081294"/>
    <w:rsid w:val="00084E42"/>
    <w:rsid w:val="00090562"/>
    <w:rsid w:val="00091402"/>
    <w:rsid w:val="00093571"/>
    <w:rsid w:val="000947D1"/>
    <w:rsid w:val="00096068"/>
    <w:rsid w:val="0009714D"/>
    <w:rsid w:val="000A7EC8"/>
    <w:rsid w:val="000B09FD"/>
    <w:rsid w:val="000B1A33"/>
    <w:rsid w:val="000B4866"/>
    <w:rsid w:val="000B66A0"/>
    <w:rsid w:val="000C069B"/>
    <w:rsid w:val="000C2598"/>
    <w:rsid w:val="000C3EA0"/>
    <w:rsid w:val="000D0B30"/>
    <w:rsid w:val="000D7826"/>
    <w:rsid w:val="000E05F4"/>
    <w:rsid w:val="000E10CD"/>
    <w:rsid w:val="000E1610"/>
    <w:rsid w:val="000E2AD3"/>
    <w:rsid w:val="000E2CB4"/>
    <w:rsid w:val="000E4B25"/>
    <w:rsid w:val="000E594F"/>
    <w:rsid w:val="000E63BF"/>
    <w:rsid w:val="000F44BB"/>
    <w:rsid w:val="000F66FD"/>
    <w:rsid w:val="00101B0B"/>
    <w:rsid w:val="00105488"/>
    <w:rsid w:val="00107047"/>
    <w:rsid w:val="00107925"/>
    <w:rsid w:val="00112F5E"/>
    <w:rsid w:val="001166B2"/>
    <w:rsid w:val="00120178"/>
    <w:rsid w:val="00122A6B"/>
    <w:rsid w:val="00122E65"/>
    <w:rsid w:val="00127DA8"/>
    <w:rsid w:val="0013101F"/>
    <w:rsid w:val="00131458"/>
    <w:rsid w:val="00134870"/>
    <w:rsid w:val="00137523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7F96"/>
    <w:rsid w:val="00190056"/>
    <w:rsid w:val="00190D22"/>
    <w:rsid w:val="00194CEB"/>
    <w:rsid w:val="001A1058"/>
    <w:rsid w:val="001A2071"/>
    <w:rsid w:val="001A25A7"/>
    <w:rsid w:val="001A3057"/>
    <w:rsid w:val="001A539C"/>
    <w:rsid w:val="001B600C"/>
    <w:rsid w:val="001C02FD"/>
    <w:rsid w:val="001C1E29"/>
    <w:rsid w:val="001C2B59"/>
    <w:rsid w:val="001E5920"/>
    <w:rsid w:val="001E7EE4"/>
    <w:rsid w:val="001F5721"/>
    <w:rsid w:val="001F707F"/>
    <w:rsid w:val="00200D04"/>
    <w:rsid w:val="00200ECC"/>
    <w:rsid w:val="00201475"/>
    <w:rsid w:val="00203357"/>
    <w:rsid w:val="00210409"/>
    <w:rsid w:val="002137DC"/>
    <w:rsid w:val="00215B93"/>
    <w:rsid w:val="00220867"/>
    <w:rsid w:val="00225BB7"/>
    <w:rsid w:val="0023003D"/>
    <w:rsid w:val="0023770D"/>
    <w:rsid w:val="002407F1"/>
    <w:rsid w:val="00243B0D"/>
    <w:rsid w:val="00243F56"/>
    <w:rsid w:val="002441BF"/>
    <w:rsid w:val="00245CC8"/>
    <w:rsid w:val="0024737E"/>
    <w:rsid w:val="0024759C"/>
    <w:rsid w:val="00254293"/>
    <w:rsid w:val="00254CD3"/>
    <w:rsid w:val="00257FFC"/>
    <w:rsid w:val="002623D2"/>
    <w:rsid w:val="00272A82"/>
    <w:rsid w:val="00277F06"/>
    <w:rsid w:val="002818A9"/>
    <w:rsid w:val="00284673"/>
    <w:rsid w:val="00285D33"/>
    <w:rsid w:val="002914EE"/>
    <w:rsid w:val="00293A85"/>
    <w:rsid w:val="002A4768"/>
    <w:rsid w:val="002A5E95"/>
    <w:rsid w:val="002B1863"/>
    <w:rsid w:val="002B3152"/>
    <w:rsid w:val="002B4D99"/>
    <w:rsid w:val="002B51EF"/>
    <w:rsid w:val="002B6492"/>
    <w:rsid w:val="002C3AB4"/>
    <w:rsid w:val="002C4F6A"/>
    <w:rsid w:val="002D099A"/>
    <w:rsid w:val="002D29B6"/>
    <w:rsid w:val="002D3CBB"/>
    <w:rsid w:val="002D418E"/>
    <w:rsid w:val="002D5DFE"/>
    <w:rsid w:val="002D65B4"/>
    <w:rsid w:val="002D70E2"/>
    <w:rsid w:val="002E387C"/>
    <w:rsid w:val="002E391F"/>
    <w:rsid w:val="002F366A"/>
    <w:rsid w:val="003010A9"/>
    <w:rsid w:val="003253E8"/>
    <w:rsid w:val="003254EB"/>
    <w:rsid w:val="00325AD9"/>
    <w:rsid w:val="00326025"/>
    <w:rsid w:val="00330A2C"/>
    <w:rsid w:val="00330A47"/>
    <w:rsid w:val="00331541"/>
    <w:rsid w:val="00331987"/>
    <w:rsid w:val="00334EAC"/>
    <w:rsid w:val="00335DD3"/>
    <w:rsid w:val="0033608D"/>
    <w:rsid w:val="00336387"/>
    <w:rsid w:val="00345350"/>
    <w:rsid w:val="003501FF"/>
    <w:rsid w:val="0036005A"/>
    <w:rsid w:val="00361053"/>
    <w:rsid w:val="0036480A"/>
    <w:rsid w:val="00365F74"/>
    <w:rsid w:val="00371884"/>
    <w:rsid w:val="003740DC"/>
    <w:rsid w:val="003757D5"/>
    <w:rsid w:val="00380E4A"/>
    <w:rsid w:val="00380FED"/>
    <w:rsid w:val="00387EAA"/>
    <w:rsid w:val="003A43AE"/>
    <w:rsid w:val="003A5231"/>
    <w:rsid w:val="003A52AF"/>
    <w:rsid w:val="003A6607"/>
    <w:rsid w:val="003B0913"/>
    <w:rsid w:val="003B2F64"/>
    <w:rsid w:val="003B4C75"/>
    <w:rsid w:val="003B4EB6"/>
    <w:rsid w:val="003C1B98"/>
    <w:rsid w:val="003C3EC5"/>
    <w:rsid w:val="003C7CA1"/>
    <w:rsid w:val="003D3535"/>
    <w:rsid w:val="003D6370"/>
    <w:rsid w:val="003E3FC6"/>
    <w:rsid w:val="003F0557"/>
    <w:rsid w:val="00403FDC"/>
    <w:rsid w:val="0041186C"/>
    <w:rsid w:val="0041270D"/>
    <w:rsid w:val="0041506E"/>
    <w:rsid w:val="0041543F"/>
    <w:rsid w:val="00415E35"/>
    <w:rsid w:val="00421150"/>
    <w:rsid w:val="00431B81"/>
    <w:rsid w:val="00432A43"/>
    <w:rsid w:val="00435DE0"/>
    <w:rsid w:val="0043781D"/>
    <w:rsid w:val="00441EB1"/>
    <w:rsid w:val="00442340"/>
    <w:rsid w:val="0045049B"/>
    <w:rsid w:val="00450C61"/>
    <w:rsid w:val="00452200"/>
    <w:rsid w:val="004568D2"/>
    <w:rsid w:val="00464DD2"/>
    <w:rsid w:val="00472411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506C59"/>
    <w:rsid w:val="00507BA3"/>
    <w:rsid w:val="00511106"/>
    <w:rsid w:val="00513ECB"/>
    <w:rsid w:val="00514299"/>
    <w:rsid w:val="00523564"/>
    <w:rsid w:val="00523EF1"/>
    <w:rsid w:val="00524178"/>
    <w:rsid w:val="00527C58"/>
    <w:rsid w:val="00531FC9"/>
    <w:rsid w:val="00535341"/>
    <w:rsid w:val="005358FA"/>
    <w:rsid w:val="00542312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5AA4"/>
    <w:rsid w:val="005771D0"/>
    <w:rsid w:val="0058379D"/>
    <w:rsid w:val="00586390"/>
    <w:rsid w:val="0059075A"/>
    <w:rsid w:val="0059398E"/>
    <w:rsid w:val="00597E30"/>
    <w:rsid w:val="005A237C"/>
    <w:rsid w:val="005B2E13"/>
    <w:rsid w:val="005B3278"/>
    <w:rsid w:val="005B6401"/>
    <w:rsid w:val="005C0EA2"/>
    <w:rsid w:val="005C473C"/>
    <w:rsid w:val="005C6427"/>
    <w:rsid w:val="005D1966"/>
    <w:rsid w:val="005D1FD8"/>
    <w:rsid w:val="005D490E"/>
    <w:rsid w:val="005E078D"/>
    <w:rsid w:val="005E0A4B"/>
    <w:rsid w:val="005E1422"/>
    <w:rsid w:val="005E16C2"/>
    <w:rsid w:val="005E192E"/>
    <w:rsid w:val="005E6168"/>
    <w:rsid w:val="005F190D"/>
    <w:rsid w:val="005F673C"/>
    <w:rsid w:val="005F6E3F"/>
    <w:rsid w:val="005F7CF3"/>
    <w:rsid w:val="006079E4"/>
    <w:rsid w:val="006208F3"/>
    <w:rsid w:val="00625D91"/>
    <w:rsid w:val="00640E96"/>
    <w:rsid w:val="00647530"/>
    <w:rsid w:val="00654B96"/>
    <w:rsid w:val="00660C23"/>
    <w:rsid w:val="00663AD7"/>
    <w:rsid w:val="00665355"/>
    <w:rsid w:val="00667C8B"/>
    <w:rsid w:val="00672C8A"/>
    <w:rsid w:val="00675491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8F8"/>
    <w:rsid w:val="006A0F9B"/>
    <w:rsid w:val="006A74E0"/>
    <w:rsid w:val="006B368B"/>
    <w:rsid w:val="006B58C8"/>
    <w:rsid w:val="006B672F"/>
    <w:rsid w:val="006B6DED"/>
    <w:rsid w:val="006C45ED"/>
    <w:rsid w:val="006D13B2"/>
    <w:rsid w:val="006D2E0C"/>
    <w:rsid w:val="006D2EDB"/>
    <w:rsid w:val="006D58AC"/>
    <w:rsid w:val="006E0D54"/>
    <w:rsid w:val="006E1EDC"/>
    <w:rsid w:val="006E64C8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7EF7"/>
    <w:rsid w:val="0071084E"/>
    <w:rsid w:val="00715614"/>
    <w:rsid w:val="00717E4A"/>
    <w:rsid w:val="007319F8"/>
    <w:rsid w:val="0073536C"/>
    <w:rsid w:val="00736A31"/>
    <w:rsid w:val="007405BA"/>
    <w:rsid w:val="0074386B"/>
    <w:rsid w:val="0074512E"/>
    <w:rsid w:val="00747911"/>
    <w:rsid w:val="0075208A"/>
    <w:rsid w:val="0075230B"/>
    <w:rsid w:val="00752F67"/>
    <w:rsid w:val="00755231"/>
    <w:rsid w:val="00755354"/>
    <w:rsid w:val="00756B71"/>
    <w:rsid w:val="00760F1B"/>
    <w:rsid w:val="0076542D"/>
    <w:rsid w:val="007658E3"/>
    <w:rsid w:val="0077417C"/>
    <w:rsid w:val="007748D3"/>
    <w:rsid w:val="00774C8C"/>
    <w:rsid w:val="00777470"/>
    <w:rsid w:val="007825F0"/>
    <w:rsid w:val="00784241"/>
    <w:rsid w:val="007864B2"/>
    <w:rsid w:val="00792180"/>
    <w:rsid w:val="007951C7"/>
    <w:rsid w:val="007A369D"/>
    <w:rsid w:val="007B4DAC"/>
    <w:rsid w:val="007B5C99"/>
    <w:rsid w:val="007B5E26"/>
    <w:rsid w:val="007B6BC5"/>
    <w:rsid w:val="007C1A6F"/>
    <w:rsid w:val="007C5049"/>
    <w:rsid w:val="007C72A1"/>
    <w:rsid w:val="007D1C6B"/>
    <w:rsid w:val="007D2906"/>
    <w:rsid w:val="007F5666"/>
    <w:rsid w:val="007F7E04"/>
    <w:rsid w:val="00806018"/>
    <w:rsid w:val="0081017F"/>
    <w:rsid w:val="008201F2"/>
    <w:rsid w:val="0082136A"/>
    <w:rsid w:val="00825FFB"/>
    <w:rsid w:val="00841168"/>
    <w:rsid w:val="00846BB4"/>
    <w:rsid w:val="00847457"/>
    <w:rsid w:val="008569C3"/>
    <w:rsid w:val="00861EC2"/>
    <w:rsid w:val="00861F40"/>
    <w:rsid w:val="00861F87"/>
    <w:rsid w:val="00863797"/>
    <w:rsid w:val="00864E78"/>
    <w:rsid w:val="00873C76"/>
    <w:rsid w:val="00874180"/>
    <w:rsid w:val="0087625F"/>
    <w:rsid w:val="00883732"/>
    <w:rsid w:val="008855DE"/>
    <w:rsid w:val="00892293"/>
    <w:rsid w:val="008947B7"/>
    <w:rsid w:val="008A0298"/>
    <w:rsid w:val="008A48F5"/>
    <w:rsid w:val="008A5A2D"/>
    <w:rsid w:val="008A66D5"/>
    <w:rsid w:val="008D0EF9"/>
    <w:rsid w:val="008D68B9"/>
    <w:rsid w:val="008E1576"/>
    <w:rsid w:val="008E3198"/>
    <w:rsid w:val="008E39E3"/>
    <w:rsid w:val="008F19C0"/>
    <w:rsid w:val="008F41DB"/>
    <w:rsid w:val="008F4368"/>
    <w:rsid w:val="00901BC7"/>
    <w:rsid w:val="009051FE"/>
    <w:rsid w:val="009112FF"/>
    <w:rsid w:val="00913556"/>
    <w:rsid w:val="00914681"/>
    <w:rsid w:val="00920504"/>
    <w:rsid w:val="009217BA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6284C"/>
    <w:rsid w:val="00962F1D"/>
    <w:rsid w:val="00970888"/>
    <w:rsid w:val="009720C6"/>
    <w:rsid w:val="00974C9A"/>
    <w:rsid w:val="009765B7"/>
    <w:rsid w:val="00977205"/>
    <w:rsid w:val="00977D5F"/>
    <w:rsid w:val="009803B3"/>
    <w:rsid w:val="00981B48"/>
    <w:rsid w:val="00983C81"/>
    <w:rsid w:val="00984A31"/>
    <w:rsid w:val="00994B27"/>
    <w:rsid w:val="00996C99"/>
    <w:rsid w:val="009A01B8"/>
    <w:rsid w:val="009A2F79"/>
    <w:rsid w:val="009A3700"/>
    <w:rsid w:val="009A6ABD"/>
    <w:rsid w:val="009B197E"/>
    <w:rsid w:val="009B7A0D"/>
    <w:rsid w:val="009B7EBC"/>
    <w:rsid w:val="009C1306"/>
    <w:rsid w:val="009C2439"/>
    <w:rsid w:val="009D222F"/>
    <w:rsid w:val="009D2B7A"/>
    <w:rsid w:val="009D53DD"/>
    <w:rsid w:val="009D699D"/>
    <w:rsid w:val="009D6E8C"/>
    <w:rsid w:val="009D70D7"/>
    <w:rsid w:val="009E033C"/>
    <w:rsid w:val="009E268C"/>
    <w:rsid w:val="009E5086"/>
    <w:rsid w:val="009E6C1D"/>
    <w:rsid w:val="009F2A79"/>
    <w:rsid w:val="009F5E66"/>
    <w:rsid w:val="009F7309"/>
    <w:rsid w:val="00A01853"/>
    <w:rsid w:val="00A048B2"/>
    <w:rsid w:val="00A04ABC"/>
    <w:rsid w:val="00A05D8D"/>
    <w:rsid w:val="00A06FAD"/>
    <w:rsid w:val="00A127C7"/>
    <w:rsid w:val="00A17961"/>
    <w:rsid w:val="00A25119"/>
    <w:rsid w:val="00A25AA2"/>
    <w:rsid w:val="00A2745E"/>
    <w:rsid w:val="00A31154"/>
    <w:rsid w:val="00A34392"/>
    <w:rsid w:val="00A37461"/>
    <w:rsid w:val="00A409CA"/>
    <w:rsid w:val="00A457A1"/>
    <w:rsid w:val="00A50387"/>
    <w:rsid w:val="00A504C1"/>
    <w:rsid w:val="00A5068B"/>
    <w:rsid w:val="00A55EBC"/>
    <w:rsid w:val="00A567D9"/>
    <w:rsid w:val="00A60463"/>
    <w:rsid w:val="00A62813"/>
    <w:rsid w:val="00A71408"/>
    <w:rsid w:val="00A730FB"/>
    <w:rsid w:val="00A7636D"/>
    <w:rsid w:val="00A80325"/>
    <w:rsid w:val="00A8069A"/>
    <w:rsid w:val="00A84A62"/>
    <w:rsid w:val="00A9237E"/>
    <w:rsid w:val="00A972C2"/>
    <w:rsid w:val="00AA2FBC"/>
    <w:rsid w:val="00AA342D"/>
    <w:rsid w:val="00AB15FA"/>
    <w:rsid w:val="00AB18B5"/>
    <w:rsid w:val="00AB4ED4"/>
    <w:rsid w:val="00AB66B6"/>
    <w:rsid w:val="00AC2885"/>
    <w:rsid w:val="00AC4631"/>
    <w:rsid w:val="00AC66A6"/>
    <w:rsid w:val="00AD03F3"/>
    <w:rsid w:val="00AD3CAC"/>
    <w:rsid w:val="00AD73D7"/>
    <w:rsid w:val="00AF16BB"/>
    <w:rsid w:val="00AF3320"/>
    <w:rsid w:val="00AF34A1"/>
    <w:rsid w:val="00B00EF7"/>
    <w:rsid w:val="00B0104B"/>
    <w:rsid w:val="00B02EC1"/>
    <w:rsid w:val="00B03FEB"/>
    <w:rsid w:val="00B066ED"/>
    <w:rsid w:val="00B06B0E"/>
    <w:rsid w:val="00B10589"/>
    <w:rsid w:val="00B142E2"/>
    <w:rsid w:val="00B20AA9"/>
    <w:rsid w:val="00B20E06"/>
    <w:rsid w:val="00B256BF"/>
    <w:rsid w:val="00B34CA0"/>
    <w:rsid w:val="00B36943"/>
    <w:rsid w:val="00B37304"/>
    <w:rsid w:val="00B40714"/>
    <w:rsid w:val="00B407D0"/>
    <w:rsid w:val="00B4697E"/>
    <w:rsid w:val="00B5259B"/>
    <w:rsid w:val="00B52EFE"/>
    <w:rsid w:val="00B548D7"/>
    <w:rsid w:val="00B5670D"/>
    <w:rsid w:val="00B63408"/>
    <w:rsid w:val="00B676F6"/>
    <w:rsid w:val="00B74564"/>
    <w:rsid w:val="00B74C92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A792D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1521"/>
    <w:rsid w:val="00BD278E"/>
    <w:rsid w:val="00BD2D60"/>
    <w:rsid w:val="00BD6468"/>
    <w:rsid w:val="00BE0BBC"/>
    <w:rsid w:val="00BE204F"/>
    <w:rsid w:val="00BE317D"/>
    <w:rsid w:val="00BE6ED5"/>
    <w:rsid w:val="00BE73D3"/>
    <w:rsid w:val="00BF644C"/>
    <w:rsid w:val="00C00832"/>
    <w:rsid w:val="00C013F7"/>
    <w:rsid w:val="00C02134"/>
    <w:rsid w:val="00C036C6"/>
    <w:rsid w:val="00C06ED0"/>
    <w:rsid w:val="00C06FC2"/>
    <w:rsid w:val="00C07EF6"/>
    <w:rsid w:val="00C12D11"/>
    <w:rsid w:val="00C136E5"/>
    <w:rsid w:val="00C144D3"/>
    <w:rsid w:val="00C15A77"/>
    <w:rsid w:val="00C17FBE"/>
    <w:rsid w:val="00C241EE"/>
    <w:rsid w:val="00C275F9"/>
    <w:rsid w:val="00C27E28"/>
    <w:rsid w:val="00C31356"/>
    <w:rsid w:val="00C33721"/>
    <w:rsid w:val="00C33CC5"/>
    <w:rsid w:val="00C40517"/>
    <w:rsid w:val="00C40B56"/>
    <w:rsid w:val="00C40F11"/>
    <w:rsid w:val="00C4251D"/>
    <w:rsid w:val="00C44E5D"/>
    <w:rsid w:val="00C52B40"/>
    <w:rsid w:val="00C5690C"/>
    <w:rsid w:val="00C631B0"/>
    <w:rsid w:val="00C6485D"/>
    <w:rsid w:val="00C666B3"/>
    <w:rsid w:val="00C768E1"/>
    <w:rsid w:val="00C83E32"/>
    <w:rsid w:val="00C910DC"/>
    <w:rsid w:val="00C923D5"/>
    <w:rsid w:val="00C94C13"/>
    <w:rsid w:val="00C9520A"/>
    <w:rsid w:val="00C95E87"/>
    <w:rsid w:val="00C9716E"/>
    <w:rsid w:val="00CA3E93"/>
    <w:rsid w:val="00CA5B53"/>
    <w:rsid w:val="00CB19D9"/>
    <w:rsid w:val="00CB3DD7"/>
    <w:rsid w:val="00CB67B4"/>
    <w:rsid w:val="00CB78F5"/>
    <w:rsid w:val="00CB7AB8"/>
    <w:rsid w:val="00CC26D4"/>
    <w:rsid w:val="00CC33C9"/>
    <w:rsid w:val="00CC7B44"/>
    <w:rsid w:val="00CD182D"/>
    <w:rsid w:val="00CD21E8"/>
    <w:rsid w:val="00CD4C57"/>
    <w:rsid w:val="00CE1B30"/>
    <w:rsid w:val="00CE4D52"/>
    <w:rsid w:val="00CE5897"/>
    <w:rsid w:val="00CE736B"/>
    <w:rsid w:val="00CF0D0E"/>
    <w:rsid w:val="00CF2E79"/>
    <w:rsid w:val="00CF3860"/>
    <w:rsid w:val="00CF3C21"/>
    <w:rsid w:val="00D02645"/>
    <w:rsid w:val="00D0452C"/>
    <w:rsid w:val="00D103B1"/>
    <w:rsid w:val="00D10A8C"/>
    <w:rsid w:val="00D11957"/>
    <w:rsid w:val="00D146E6"/>
    <w:rsid w:val="00D20CB9"/>
    <w:rsid w:val="00D27523"/>
    <w:rsid w:val="00D3004F"/>
    <w:rsid w:val="00D301E4"/>
    <w:rsid w:val="00D33B5B"/>
    <w:rsid w:val="00D34581"/>
    <w:rsid w:val="00D3543A"/>
    <w:rsid w:val="00D412C6"/>
    <w:rsid w:val="00D42A4E"/>
    <w:rsid w:val="00D4639E"/>
    <w:rsid w:val="00D5107D"/>
    <w:rsid w:val="00D54997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91FA6"/>
    <w:rsid w:val="00D91FFC"/>
    <w:rsid w:val="00D94AC7"/>
    <w:rsid w:val="00D9744D"/>
    <w:rsid w:val="00DA4A3E"/>
    <w:rsid w:val="00DB240D"/>
    <w:rsid w:val="00DB2E9F"/>
    <w:rsid w:val="00DB59AE"/>
    <w:rsid w:val="00DC03CC"/>
    <w:rsid w:val="00DC0481"/>
    <w:rsid w:val="00DC219A"/>
    <w:rsid w:val="00DC5B58"/>
    <w:rsid w:val="00DC7070"/>
    <w:rsid w:val="00DD1247"/>
    <w:rsid w:val="00DD3778"/>
    <w:rsid w:val="00DD4CB4"/>
    <w:rsid w:val="00DE37B3"/>
    <w:rsid w:val="00DE451A"/>
    <w:rsid w:val="00DF15D2"/>
    <w:rsid w:val="00DF4E39"/>
    <w:rsid w:val="00DF710E"/>
    <w:rsid w:val="00E01127"/>
    <w:rsid w:val="00E0315D"/>
    <w:rsid w:val="00E06D12"/>
    <w:rsid w:val="00E07B86"/>
    <w:rsid w:val="00E07E32"/>
    <w:rsid w:val="00E138A5"/>
    <w:rsid w:val="00E16B04"/>
    <w:rsid w:val="00E174D5"/>
    <w:rsid w:val="00E2692E"/>
    <w:rsid w:val="00E2718B"/>
    <w:rsid w:val="00E31AE0"/>
    <w:rsid w:val="00E336A1"/>
    <w:rsid w:val="00E348B0"/>
    <w:rsid w:val="00E3511C"/>
    <w:rsid w:val="00E529B6"/>
    <w:rsid w:val="00E641FC"/>
    <w:rsid w:val="00E66EF2"/>
    <w:rsid w:val="00E741AE"/>
    <w:rsid w:val="00E74697"/>
    <w:rsid w:val="00E75432"/>
    <w:rsid w:val="00E7741B"/>
    <w:rsid w:val="00E81B9F"/>
    <w:rsid w:val="00E8717B"/>
    <w:rsid w:val="00E92829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C0A27"/>
    <w:rsid w:val="00EC3805"/>
    <w:rsid w:val="00EC5254"/>
    <w:rsid w:val="00ED07D9"/>
    <w:rsid w:val="00ED4936"/>
    <w:rsid w:val="00ED4C59"/>
    <w:rsid w:val="00ED52DF"/>
    <w:rsid w:val="00EE4D0F"/>
    <w:rsid w:val="00EE618D"/>
    <w:rsid w:val="00EF057E"/>
    <w:rsid w:val="00EF1711"/>
    <w:rsid w:val="00EF1870"/>
    <w:rsid w:val="00EF3C2C"/>
    <w:rsid w:val="00EF6B08"/>
    <w:rsid w:val="00F01C00"/>
    <w:rsid w:val="00F072E2"/>
    <w:rsid w:val="00F1058F"/>
    <w:rsid w:val="00F2268C"/>
    <w:rsid w:val="00F266FE"/>
    <w:rsid w:val="00F32FA3"/>
    <w:rsid w:val="00F34F92"/>
    <w:rsid w:val="00F350C5"/>
    <w:rsid w:val="00F40F9B"/>
    <w:rsid w:val="00F43155"/>
    <w:rsid w:val="00F43B71"/>
    <w:rsid w:val="00F43D68"/>
    <w:rsid w:val="00F52745"/>
    <w:rsid w:val="00F55297"/>
    <w:rsid w:val="00F55B3C"/>
    <w:rsid w:val="00F5723B"/>
    <w:rsid w:val="00F67E8A"/>
    <w:rsid w:val="00F70AE7"/>
    <w:rsid w:val="00F72BA4"/>
    <w:rsid w:val="00F73817"/>
    <w:rsid w:val="00F7440C"/>
    <w:rsid w:val="00F74F13"/>
    <w:rsid w:val="00F75BC9"/>
    <w:rsid w:val="00F818BA"/>
    <w:rsid w:val="00F82483"/>
    <w:rsid w:val="00F83839"/>
    <w:rsid w:val="00F86863"/>
    <w:rsid w:val="00F868F4"/>
    <w:rsid w:val="00F91340"/>
    <w:rsid w:val="00F956D8"/>
    <w:rsid w:val="00F97809"/>
    <w:rsid w:val="00FA2CB7"/>
    <w:rsid w:val="00FA4394"/>
    <w:rsid w:val="00FB1D9D"/>
    <w:rsid w:val="00FB42A4"/>
    <w:rsid w:val="00FB4AC1"/>
    <w:rsid w:val="00FB6E32"/>
    <w:rsid w:val="00FC4487"/>
    <w:rsid w:val="00FD68A4"/>
    <w:rsid w:val="00FD7D44"/>
    <w:rsid w:val="00FE0F26"/>
    <w:rsid w:val="00FE111E"/>
    <w:rsid w:val="00FF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7" ma:contentTypeDescription="Create a new document." ma:contentTypeScope="" ma:versionID="b84ea11dbef969abe258bfbba9125e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9cca11e635da8b5f32d915a0f194fd5a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Props1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5F8DC8-1263-4586-A00F-BE379A3B86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4419c-0be6-49ec-9312-a60fa7bb70b1"/>
    <ds:schemaRef ds:uri="a59b828f-78de-42fb-9420-f13f61025e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  <ds:schemaRef ds:uri="d3d4419c-0be6-49ec-9312-a60fa7bb70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954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S.Hegarty</cp:lastModifiedBy>
  <cp:revision>3</cp:revision>
  <cp:lastPrinted>2022-01-21T12:35:00Z</cp:lastPrinted>
  <dcterms:created xsi:type="dcterms:W3CDTF">2022-07-05T08:21:00Z</dcterms:created>
  <dcterms:modified xsi:type="dcterms:W3CDTF">2023-06-11T16:03:00Z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