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521"/>
        <w:tblW w:w="11052" w:type="dxa"/>
        <w:tblLook w:val="04A0" w:firstRow="1" w:lastRow="0" w:firstColumn="1" w:lastColumn="0" w:noHBand="0" w:noVBand="1"/>
      </w:tblPr>
      <w:tblGrid>
        <w:gridCol w:w="1836"/>
        <w:gridCol w:w="9216"/>
      </w:tblGrid>
      <w:tr w:rsidR="001723E0" w:rsidRPr="00D83AA3" w14:paraId="1B5E23EB" w14:textId="77777777" w:rsidTr="001307E8">
        <w:trPr>
          <w:trHeight w:val="231"/>
        </w:trPr>
        <w:tc>
          <w:tcPr>
            <w:tcW w:w="11052" w:type="dxa"/>
            <w:gridSpan w:val="2"/>
            <w:vAlign w:val="center"/>
          </w:tcPr>
          <w:p w14:paraId="3D1C6D07" w14:textId="71113619" w:rsidR="001723E0" w:rsidRPr="00D83AA3" w:rsidRDefault="001723E0" w:rsidP="001307E8">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9264" behindDoc="0" locked="0" layoutInCell="1" allowOverlap="1" wp14:anchorId="641EC2EC" wp14:editId="0B28C728">
                  <wp:simplePos x="0" y="0"/>
                  <wp:positionH relativeFrom="column">
                    <wp:posOffset>-868680</wp:posOffset>
                  </wp:positionH>
                  <wp:positionV relativeFrom="paragraph">
                    <wp:posOffset>61595</wp:posOffset>
                  </wp:positionV>
                  <wp:extent cx="758190" cy="808990"/>
                  <wp:effectExtent l="0" t="0" r="3810" b="0"/>
                  <wp:wrapSquare wrapText="bothSides"/>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lip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b/>
                <w:sz w:val="36"/>
                <w:szCs w:val="40"/>
              </w:rPr>
              <w:t xml:space="preserve">YEAR </w:t>
            </w:r>
            <w:r>
              <w:rPr>
                <w:rFonts w:ascii="Twinkl" w:hAnsi="Twinkl"/>
                <w:b/>
                <w:sz w:val="36"/>
                <w:szCs w:val="40"/>
              </w:rPr>
              <w:t>1</w:t>
            </w:r>
            <w:r w:rsidR="00D653E9">
              <w:rPr>
                <w:rFonts w:ascii="Twinkl" w:hAnsi="Twinkl"/>
                <w:b/>
                <w:sz w:val="36"/>
                <w:szCs w:val="40"/>
              </w:rPr>
              <w:t>3</w:t>
            </w:r>
            <w:r w:rsidRPr="00D83AA3">
              <w:rPr>
                <w:rFonts w:ascii="Twinkl" w:hAnsi="Twinkl"/>
                <w:b/>
                <w:sz w:val="36"/>
                <w:szCs w:val="40"/>
              </w:rPr>
              <w:t xml:space="preserve"> </w:t>
            </w:r>
            <w:r w:rsidR="00A95D9B">
              <w:rPr>
                <w:rFonts w:ascii="Twinkl" w:hAnsi="Twinkl"/>
                <w:b/>
                <w:sz w:val="36"/>
                <w:szCs w:val="40"/>
              </w:rPr>
              <w:t>Medical Science</w:t>
            </w:r>
            <w:r w:rsidRPr="00D83AA3">
              <w:rPr>
                <w:rFonts w:ascii="Twinkl" w:hAnsi="Twinkl"/>
                <w:b/>
                <w:sz w:val="36"/>
                <w:szCs w:val="40"/>
              </w:rPr>
              <w:t xml:space="preserve"> </w:t>
            </w:r>
          </w:p>
          <w:p w14:paraId="068F6755" w14:textId="77777777" w:rsidR="001723E0" w:rsidRPr="00D83AA3" w:rsidRDefault="001723E0" w:rsidP="001307E8">
            <w:pPr>
              <w:jc w:val="center"/>
              <w:rPr>
                <w:rFonts w:ascii="Twinkl" w:hAnsi="Twinkl"/>
                <w:b/>
                <w:sz w:val="22"/>
                <w:szCs w:val="22"/>
              </w:rPr>
            </w:pPr>
            <w:r w:rsidRPr="00D83AA3">
              <w:rPr>
                <w:rFonts w:ascii="Twinkl" w:hAnsi="Twinkl"/>
                <w:b/>
                <w:sz w:val="22"/>
                <w:szCs w:val="22"/>
              </w:rPr>
              <w:t xml:space="preserve">‘An ambitious curriculum that meets the needs of </w:t>
            </w:r>
            <w:proofErr w:type="gramStart"/>
            <w:r w:rsidRPr="00D83AA3">
              <w:rPr>
                <w:rFonts w:ascii="Twinkl" w:hAnsi="Twinkl"/>
                <w:b/>
                <w:sz w:val="22"/>
                <w:szCs w:val="22"/>
              </w:rPr>
              <w:t>all</w:t>
            </w:r>
            <w:proofErr w:type="gramEnd"/>
            <w:r w:rsidRPr="00D83AA3">
              <w:rPr>
                <w:rFonts w:ascii="Twinkl" w:hAnsi="Twinkl"/>
                <w:b/>
                <w:sz w:val="22"/>
                <w:szCs w:val="22"/>
              </w:rPr>
              <w:t>’</w:t>
            </w:r>
          </w:p>
          <w:p w14:paraId="467BEDC9" w14:textId="1680AE26" w:rsidR="001723E0" w:rsidRPr="00D83AA3" w:rsidRDefault="001723E0" w:rsidP="001307E8">
            <w:pPr>
              <w:jc w:val="center"/>
              <w:rPr>
                <w:rFonts w:ascii="Twinkl" w:hAnsi="Twinkl"/>
                <w:b/>
                <w:sz w:val="32"/>
                <w:szCs w:val="32"/>
              </w:rPr>
            </w:pPr>
            <w:r w:rsidRPr="00D83AA3">
              <w:rPr>
                <w:rFonts w:ascii="Twinkl" w:hAnsi="Twinkl"/>
                <w:b/>
                <w:sz w:val="32"/>
                <w:szCs w:val="32"/>
              </w:rPr>
              <w:t>Medium Term Planning - Topic:</w:t>
            </w:r>
            <w:r>
              <w:rPr>
                <w:rFonts w:ascii="Twinkl" w:hAnsi="Twinkl"/>
                <w:b/>
                <w:sz w:val="32"/>
                <w:szCs w:val="32"/>
              </w:rPr>
              <w:t xml:space="preserve"> </w:t>
            </w:r>
            <w:r w:rsidR="00A95D9B">
              <w:rPr>
                <w:rFonts w:ascii="Twinkl" w:hAnsi="Twinkl"/>
                <w:b/>
                <w:sz w:val="32"/>
                <w:szCs w:val="32"/>
              </w:rPr>
              <w:t xml:space="preserve">Unit </w:t>
            </w:r>
            <w:r w:rsidR="00B37FDD">
              <w:rPr>
                <w:rFonts w:ascii="Twinkl" w:hAnsi="Twinkl"/>
                <w:b/>
                <w:sz w:val="32"/>
                <w:szCs w:val="32"/>
              </w:rPr>
              <w:t>6</w:t>
            </w:r>
          </w:p>
        </w:tc>
      </w:tr>
      <w:tr w:rsidR="001723E0" w:rsidRPr="00D83AA3" w14:paraId="22D02689" w14:textId="77777777" w:rsidTr="001307E8">
        <w:trPr>
          <w:trHeight w:val="297"/>
        </w:trPr>
        <w:tc>
          <w:tcPr>
            <w:tcW w:w="2100" w:type="dxa"/>
            <w:shd w:val="clear" w:color="auto" w:fill="000000" w:themeFill="text1"/>
            <w:vAlign w:val="center"/>
          </w:tcPr>
          <w:p w14:paraId="0594B76E" w14:textId="77777777" w:rsidR="001723E0" w:rsidRPr="00D83AA3" w:rsidRDefault="001723E0" w:rsidP="001307E8">
            <w:pPr>
              <w:jc w:val="center"/>
              <w:rPr>
                <w:rFonts w:ascii="Twinkl" w:hAnsi="Twinkl"/>
                <w:b/>
              </w:rPr>
            </w:pPr>
            <w:r>
              <w:rPr>
                <w:rFonts w:ascii="Twinkl" w:hAnsi="Twinkl"/>
                <w:b/>
              </w:rPr>
              <w:t xml:space="preserve">Curriculum </w:t>
            </w:r>
            <w:r w:rsidRPr="00D83AA3">
              <w:rPr>
                <w:rFonts w:ascii="Twinkl" w:hAnsi="Twinkl"/>
                <w:b/>
              </w:rPr>
              <w:t>Intent</w:t>
            </w:r>
          </w:p>
        </w:tc>
        <w:tc>
          <w:tcPr>
            <w:tcW w:w="8952" w:type="dxa"/>
            <w:vMerge w:val="restart"/>
            <w:vAlign w:val="center"/>
          </w:tcPr>
          <w:p w14:paraId="354DAE42" w14:textId="77777777" w:rsidR="001723E0" w:rsidRPr="00BB5C43" w:rsidRDefault="001723E0" w:rsidP="001307E8">
            <w:pPr>
              <w:autoSpaceDE w:val="0"/>
              <w:autoSpaceDN w:val="0"/>
              <w:adjustRightInd w:val="0"/>
              <w:jc w:val="center"/>
              <w:rPr>
                <w:rFonts w:ascii="Arial" w:hAnsi="Arial" w:cs="Arial"/>
                <w:b/>
                <w:bCs/>
                <w:sz w:val="22"/>
                <w:szCs w:val="22"/>
              </w:rPr>
            </w:pPr>
            <w:r w:rsidRPr="00BB5C43">
              <w:rPr>
                <w:rFonts w:ascii="Arial" w:hAnsi="Arial" w:cs="Arial"/>
                <w:b/>
                <w:bCs/>
                <w:sz w:val="22"/>
                <w:szCs w:val="22"/>
              </w:rPr>
              <w:t>In addition to working further on objectives from Year 12, pupils will be taught, following National Curriculum guidelines, the following this term:</w:t>
            </w:r>
          </w:p>
          <w:p w14:paraId="5E99EB2F" w14:textId="2B01CAAA" w:rsidR="00B37FDD" w:rsidRPr="00277780" w:rsidRDefault="00277780" w:rsidP="00B37FDD">
            <w:pPr>
              <w:autoSpaceDE w:val="0"/>
              <w:autoSpaceDN w:val="0"/>
              <w:adjustRightInd w:val="0"/>
              <w:rPr>
                <w:rFonts w:ascii="Arial" w:hAnsi="Arial" w:cs="Arial"/>
                <w:sz w:val="22"/>
                <w:szCs w:val="22"/>
              </w:rPr>
            </w:pPr>
            <w:r w:rsidRPr="00277780">
              <w:rPr>
                <w:rFonts w:ascii="Arial" w:hAnsi="Arial" w:cs="Arial"/>
                <w:sz w:val="22"/>
                <w:szCs w:val="22"/>
              </w:rPr>
              <w:t xml:space="preserve">This unit is the overall synoptic unit for the Diploma qualification. It provides the opportunity for candidates to demonstrate their understanding of the connections between the other five units of this Medical Science qualification. The content of this unit requires candidates to apply skills, techniques, knowledge, understanding and concepts from across the qualification content </w:t>
            </w:r>
            <w:proofErr w:type="gramStart"/>
            <w:r w:rsidRPr="00277780">
              <w:rPr>
                <w:rFonts w:ascii="Arial" w:hAnsi="Arial" w:cs="Arial"/>
                <w:sz w:val="22"/>
                <w:szCs w:val="22"/>
              </w:rPr>
              <w:t>in order to</w:t>
            </w:r>
            <w:proofErr w:type="gramEnd"/>
            <w:r w:rsidRPr="00277780">
              <w:rPr>
                <w:rFonts w:ascii="Arial" w:hAnsi="Arial" w:cs="Arial"/>
                <w:sz w:val="22"/>
                <w:szCs w:val="22"/>
              </w:rPr>
              <w:t xml:space="preserve"> complete the required assessment. The assessment provides integrated and purposeful contexts in which candidates will demonstrate the knowledge, understanding and skills they have developed through all the other units within the qualification. The contexts provided are medical case studies, which require candidates to </w:t>
            </w:r>
            <w:proofErr w:type="spellStart"/>
            <w:r w:rsidRPr="00277780">
              <w:rPr>
                <w:rFonts w:ascii="Arial" w:hAnsi="Arial" w:cs="Arial"/>
                <w:sz w:val="22"/>
                <w:szCs w:val="22"/>
              </w:rPr>
              <w:t>analyse</w:t>
            </w:r>
            <w:proofErr w:type="spellEnd"/>
            <w:r w:rsidRPr="00277780">
              <w:rPr>
                <w:rFonts w:ascii="Arial" w:hAnsi="Arial" w:cs="Arial"/>
                <w:sz w:val="22"/>
                <w:szCs w:val="22"/>
              </w:rPr>
              <w:t xml:space="preserve"> the information provided and develop a thorough assessment of the situation based on their knowledge and understanding gained from the other units of this qualification</w:t>
            </w:r>
            <w:r w:rsidRPr="00277780">
              <w:rPr>
                <w:rFonts w:ascii="Arial" w:hAnsi="Arial" w:cs="Arial"/>
                <w:sz w:val="22"/>
                <w:szCs w:val="22"/>
              </w:rPr>
              <w:t>.</w:t>
            </w:r>
          </w:p>
          <w:p w14:paraId="010B1FD0" w14:textId="5CEEE2F3" w:rsidR="006468CD" w:rsidRPr="00BB5C43" w:rsidRDefault="00277780" w:rsidP="00277780">
            <w:pPr>
              <w:autoSpaceDE w:val="0"/>
              <w:autoSpaceDN w:val="0"/>
              <w:adjustRightInd w:val="0"/>
              <w:rPr>
                <w:rFonts w:ascii="Arial" w:eastAsia="Times New Roman" w:hAnsi="Arial" w:cs="Arial"/>
                <w:color w:val="000000"/>
                <w:lang w:val="en-GB" w:eastAsia="fr-FR"/>
              </w:rPr>
            </w:pPr>
            <w:r w:rsidRPr="00277780">
              <w:rPr>
                <w:rFonts w:ascii="Arial" w:hAnsi="Arial" w:cs="Arial"/>
                <w:sz w:val="22"/>
                <w:szCs w:val="22"/>
              </w:rPr>
              <w:t xml:space="preserve">How is a case study approach used within medical and healthcare education and training? How do they provide information about a particular patient or </w:t>
            </w:r>
            <w:proofErr w:type="gramStart"/>
            <w:r w:rsidRPr="00277780">
              <w:rPr>
                <w:rFonts w:ascii="Arial" w:hAnsi="Arial" w:cs="Arial"/>
                <w:sz w:val="22"/>
                <w:szCs w:val="22"/>
              </w:rPr>
              <w:t>particular scenario</w:t>
            </w:r>
            <w:proofErr w:type="gramEnd"/>
            <w:r w:rsidRPr="00277780">
              <w:rPr>
                <w:rFonts w:ascii="Arial" w:hAnsi="Arial" w:cs="Arial"/>
                <w:sz w:val="22"/>
                <w:szCs w:val="22"/>
              </w:rPr>
              <w:t xml:space="preserve">, which can be reviewed and assessed, so that recommendations can be made? What methods are used to collect patient data? How does patient data and case studies allow health professionals to draw conclusions? Medical case studies are useful when there is a need to obtain an in-depth appreciation of a condition or patient of interest, in a real-life context. </w:t>
            </w:r>
            <w:proofErr w:type="gramStart"/>
            <w:r w:rsidRPr="00277780">
              <w:rPr>
                <w:rFonts w:ascii="Arial" w:hAnsi="Arial" w:cs="Arial"/>
                <w:sz w:val="22"/>
                <w:szCs w:val="22"/>
              </w:rPr>
              <w:t>Typically</w:t>
            </w:r>
            <w:proofErr w:type="gramEnd"/>
            <w:r w:rsidRPr="00277780">
              <w:rPr>
                <w:rFonts w:ascii="Arial" w:hAnsi="Arial" w:cs="Arial"/>
                <w:sz w:val="22"/>
                <w:szCs w:val="22"/>
              </w:rPr>
              <w:t xml:space="preserve"> data is gathered from a variety of sources and by using several different methods. Research may also continue for an extended </w:t>
            </w:r>
            <w:proofErr w:type="gramStart"/>
            <w:r w:rsidRPr="00277780">
              <w:rPr>
                <w:rFonts w:ascii="Arial" w:hAnsi="Arial" w:cs="Arial"/>
                <w:sz w:val="22"/>
                <w:szCs w:val="22"/>
              </w:rPr>
              <w:t>period of time</w:t>
            </w:r>
            <w:proofErr w:type="gramEnd"/>
            <w:r w:rsidRPr="00277780">
              <w:rPr>
                <w:rFonts w:ascii="Arial" w:hAnsi="Arial" w:cs="Arial"/>
                <w:sz w:val="22"/>
                <w:szCs w:val="22"/>
              </w:rPr>
              <w:t xml:space="preserve"> so processes and developments can be studied as they happen. The case study method often involves simply observing what happens to, or reconstructing ‘the case history’ of a single participant or group of individuals (such as a school class or a specific social group). The case study is not itself a research method, but researchers select methods of data collection and analysis that will generate material suitable for case studies. In this unit you will develop your problem-solving skills through the analysis of case studies. You will make use of your knowledge and understanding of human physiology, physiological measurement, clinical testing, statistical research, and medical treatment including the use of medicines.</w:t>
            </w:r>
          </w:p>
        </w:tc>
      </w:tr>
      <w:tr w:rsidR="001723E0" w:rsidRPr="00D83AA3" w14:paraId="6CAFBE1C" w14:textId="77777777" w:rsidTr="001307E8">
        <w:trPr>
          <w:trHeight w:val="4525"/>
        </w:trPr>
        <w:tc>
          <w:tcPr>
            <w:tcW w:w="2100" w:type="dxa"/>
            <w:shd w:val="clear" w:color="auto" w:fill="BFBFBF" w:themeFill="background1" w:themeFillShade="BF"/>
            <w:vAlign w:val="center"/>
          </w:tcPr>
          <w:p w14:paraId="2663238C" w14:textId="77777777" w:rsidR="001723E0" w:rsidRPr="00D83AA3" w:rsidRDefault="001723E0" w:rsidP="001307E8">
            <w:pPr>
              <w:jc w:val="center"/>
              <w:rPr>
                <w:rFonts w:ascii="Twinkl" w:hAnsi="Twinkl"/>
                <w:b/>
              </w:rPr>
            </w:pPr>
            <w:r>
              <w:rPr>
                <w:rFonts w:ascii="Twinkl" w:hAnsi="Twinkl"/>
                <w:b/>
              </w:rPr>
              <w:t>Skills/National Curriculum Links</w:t>
            </w:r>
          </w:p>
        </w:tc>
        <w:tc>
          <w:tcPr>
            <w:tcW w:w="8952" w:type="dxa"/>
            <w:vMerge/>
            <w:vAlign w:val="center"/>
          </w:tcPr>
          <w:p w14:paraId="445785AB" w14:textId="77777777" w:rsidR="001723E0" w:rsidRPr="00B02EC1" w:rsidRDefault="001723E0" w:rsidP="001307E8">
            <w:pPr>
              <w:autoSpaceDE w:val="0"/>
              <w:autoSpaceDN w:val="0"/>
              <w:adjustRightInd w:val="0"/>
              <w:rPr>
                <w:rFonts w:ascii="Twinkl" w:hAnsi="Twinkl" w:cstheme="minorHAnsi"/>
                <w:b/>
                <w:bCs/>
                <w:sz w:val="20"/>
                <w:szCs w:val="20"/>
              </w:rPr>
            </w:pPr>
          </w:p>
        </w:tc>
      </w:tr>
      <w:tr w:rsidR="001723E0" w:rsidRPr="00D83AA3" w14:paraId="0CB96F17" w14:textId="77777777" w:rsidTr="001307E8">
        <w:trPr>
          <w:trHeight w:val="334"/>
        </w:trPr>
        <w:tc>
          <w:tcPr>
            <w:tcW w:w="2100" w:type="dxa"/>
            <w:shd w:val="clear" w:color="auto" w:fill="BFBFBF" w:themeFill="background1" w:themeFillShade="BF"/>
            <w:vAlign w:val="center"/>
          </w:tcPr>
          <w:p w14:paraId="2D1D172F" w14:textId="77777777" w:rsidR="001723E0" w:rsidRPr="00D83AA3" w:rsidRDefault="001723E0" w:rsidP="001307E8">
            <w:pPr>
              <w:jc w:val="center"/>
              <w:rPr>
                <w:rFonts w:ascii="Twinkl" w:hAnsi="Twinkl"/>
                <w:b/>
                <w:sz w:val="28"/>
                <w:szCs w:val="28"/>
              </w:rPr>
            </w:pPr>
            <w:r w:rsidRPr="00D83AA3">
              <w:rPr>
                <w:rFonts w:ascii="Twinkl" w:hAnsi="Twinkl"/>
                <w:b/>
              </w:rPr>
              <w:t>Cross Curricular Links</w:t>
            </w:r>
          </w:p>
        </w:tc>
        <w:tc>
          <w:tcPr>
            <w:tcW w:w="8952" w:type="dxa"/>
            <w:vAlign w:val="center"/>
          </w:tcPr>
          <w:p w14:paraId="01D5B851" w14:textId="0C1A7CF7" w:rsidR="00CB1539" w:rsidRPr="00BB4A55" w:rsidRDefault="001723E0" w:rsidP="00CB1539">
            <w:pPr>
              <w:autoSpaceDE w:val="0"/>
              <w:autoSpaceDN w:val="0"/>
              <w:adjustRightInd w:val="0"/>
              <w:rPr>
                <w:rFonts w:ascii="Arial" w:hAnsi="Arial" w:cs="Arial"/>
                <w:sz w:val="22"/>
                <w:szCs w:val="22"/>
                <w:lang w:val="en-GB"/>
              </w:rPr>
            </w:pPr>
            <w:r w:rsidRPr="00BB4A55">
              <w:rPr>
                <w:rFonts w:ascii="Twinkl" w:hAnsi="Twinkl"/>
                <w:b/>
                <w:sz w:val="22"/>
                <w:szCs w:val="22"/>
              </w:rPr>
              <w:t>SMSC</w:t>
            </w:r>
            <w:r w:rsidR="00CB1539" w:rsidRPr="00BB4A55">
              <w:rPr>
                <w:rFonts w:ascii="Twinkl" w:hAnsi="Twinkl"/>
                <w:b/>
                <w:sz w:val="22"/>
                <w:szCs w:val="22"/>
              </w:rPr>
              <w:t>/PSHE</w:t>
            </w:r>
            <w:r w:rsidRPr="00BB4A55">
              <w:rPr>
                <w:rFonts w:ascii="Twinkl" w:hAnsi="Twinkl"/>
                <w:b/>
                <w:sz w:val="22"/>
                <w:szCs w:val="22"/>
              </w:rPr>
              <w:t xml:space="preserve">: </w:t>
            </w:r>
            <w:r w:rsidR="00CB1539" w:rsidRPr="00BB4A55">
              <w:rPr>
                <w:rFonts w:ascii="Arial" w:hAnsi="Arial" w:cs="Arial"/>
                <w:sz w:val="22"/>
                <w:szCs w:val="22"/>
                <w:lang w:val="en-GB"/>
              </w:rPr>
              <w:t>The specification provides a framework and includes specific content through which</w:t>
            </w:r>
            <w:r w:rsidR="00BB4A55" w:rsidRPr="00BB4A55">
              <w:rPr>
                <w:rFonts w:ascii="Arial" w:hAnsi="Arial" w:cs="Arial"/>
                <w:sz w:val="22"/>
                <w:szCs w:val="22"/>
                <w:lang w:val="en-GB"/>
              </w:rPr>
              <w:t xml:space="preserve"> </w:t>
            </w:r>
            <w:r w:rsidR="00CB1539" w:rsidRPr="00BB4A55">
              <w:rPr>
                <w:rFonts w:ascii="Arial" w:hAnsi="Arial" w:cs="Arial"/>
                <w:sz w:val="22"/>
                <w:szCs w:val="22"/>
                <w:lang w:val="en-GB"/>
              </w:rPr>
              <w:t xml:space="preserve">individual courses may address spiritual, moral, ethical, </w:t>
            </w:r>
            <w:proofErr w:type="gramStart"/>
            <w:r w:rsidR="00CB1539" w:rsidRPr="00BB4A55">
              <w:rPr>
                <w:rFonts w:ascii="Arial" w:hAnsi="Arial" w:cs="Arial"/>
                <w:sz w:val="22"/>
                <w:szCs w:val="22"/>
                <w:lang w:val="en-GB"/>
              </w:rPr>
              <w:t>social</w:t>
            </w:r>
            <w:proofErr w:type="gramEnd"/>
            <w:r w:rsidR="00CB1539" w:rsidRPr="00BB4A55">
              <w:rPr>
                <w:rFonts w:ascii="Arial" w:hAnsi="Arial" w:cs="Arial"/>
                <w:sz w:val="22"/>
                <w:szCs w:val="22"/>
                <w:lang w:val="en-GB"/>
              </w:rPr>
              <w:t xml:space="preserve"> and cultural issues. It</w:t>
            </w:r>
            <w:r w:rsidR="00BB4A55" w:rsidRPr="00BB4A55">
              <w:rPr>
                <w:rFonts w:ascii="Arial" w:hAnsi="Arial" w:cs="Arial"/>
                <w:sz w:val="22"/>
                <w:szCs w:val="22"/>
                <w:lang w:val="en-GB"/>
              </w:rPr>
              <w:t xml:space="preserve"> </w:t>
            </w:r>
            <w:r w:rsidR="00CB1539" w:rsidRPr="00BB4A55">
              <w:rPr>
                <w:rFonts w:ascii="Arial" w:hAnsi="Arial" w:cs="Arial"/>
                <w:sz w:val="22"/>
                <w:szCs w:val="22"/>
                <w:lang w:val="en-GB"/>
              </w:rPr>
              <w:t xml:space="preserve">aims to show how science can be used to assist in understanding the </w:t>
            </w:r>
            <w:proofErr w:type="gramStart"/>
            <w:r w:rsidR="00CB1539" w:rsidRPr="00BB4A55">
              <w:rPr>
                <w:rFonts w:ascii="Arial" w:hAnsi="Arial" w:cs="Arial"/>
                <w:sz w:val="22"/>
                <w:szCs w:val="22"/>
                <w:lang w:val="en-GB"/>
              </w:rPr>
              <w:t>underlying</w:t>
            </w:r>
            <w:proofErr w:type="gramEnd"/>
          </w:p>
          <w:p w14:paraId="7F0CAE26"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causes of disease. Learners should consider how conditions are treated, and</w:t>
            </w:r>
          </w:p>
          <w:p w14:paraId="2481E6E3"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balance the need for new treatments with cost to society.</w:t>
            </w:r>
          </w:p>
          <w:p w14:paraId="26835F6B"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 xml:space="preserve">Examples of issues which can be addressed through the specification are </w:t>
            </w:r>
            <w:proofErr w:type="gramStart"/>
            <w:r w:rsidRPr="00BB4A55">
              <w:rPr>
                <w:rFonts w:ascii="Arial" w:hAnsi="Arial" w:cs="Arial"/>
                <w:sz w:val="22"/>
                <w:szCs w:val="22"/>
                <w:lang w:val="en-GB"/>
              </w:rPr>
              <w:t>listed</w:t>
            </w:r>
            <w:proofErr w:type="gramEnd"/>
          </w:p>
          <w:p w14:paraId="18F05441"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below.</w:t>
            </w:r>
          </w:p>
          <w:p w14:paraId="500F25D6" w14:textId="665A89D5" w:rsidR="001723E0" w:rsidRPr="00BB4A55" w:rsidRDefault="00CB1539" w:rsidP="00CB1539">
            <w:pPr>
              <w:autoSpaceDE w:val="0"/>
              <w:autoSpaceDN w:val="0"/>
              <w:adjustRightInd w:val="0"/>
              <w:rPr>
                <w:rFonts w:ascii="Arial" w:hAnsi="Arial" w:cs="Arial"/>
                <w:sz w:val="22"/>
                <w:szCs w:val="22"/>
                <w:lang w:val="en-GB"/>
              </w:rPr>
            </w:pPr>
            <w:r w:rsidRPr="00BB4A55">
              <w:rPr>
                <w:rFonts w:ascii="SymbolMT" w:hAnsi="SymbolMT" w:cs="SymbolMT"/>
                <w:sz w:val="22"/>
                <w:szCs w:val="22"/>
                <w:lang w:val="en-GB"/>
              </w:rPr>
              <w:t xml:space="preserve">• </w:t>
            </w:r>
            <w:r w:rsidRPr="00BB4A55">
              <w:rPr>
                <w:rFonts w:ascii="Arial" w:hAnsi="Arial" w:cs="Arial"/>
                <w:sz w:val="22"/>
                <w:szCs w:val="22"/>
                <w:lang w:val="en-GB"/>
              </w:rPr>
              <w:t>How lifestyle may affect health (unit 1)</w:t>
            </w:r>
          </w:p>
          <w:p w14:paraId="229B7547" w14:textId="77777777" w:rsidR="00BB4A55" w:rsidRPr="00BB4A55" w:rsidRDefault="00BB4A55" w:rsidP="00BB4A55">
            <w:pPr>
              <w:autoSpaceDE w:val="0"/>
              <w:autoSpaceDN w:val="0"/>
              <w:adjustRightInd w:val="0"/>
              <w:rPr>
                <w:rFonts w:ascii="Arial" w:hAnsi="Arial" w:cs="Arial"/>
                <w:sz w:val="22"/>
                <w:szCs w:val="22"/>
                <w:lang w:val="en-GB"/>
              </w:rPr>
            </w:pPr>
            <w:r w:rsidRPr="00BB4A55">
              <w:rPr>
                <w:rFonts w:ascii="SymbolMT" w:hAnsi="SymbolMT" w:cs="SymbolMT"/>
                <w:sz w:val="22"/>
                <w:szCs w:val="22"/>
                <w:lang w:val="en-GB"/>
              </w:rPr>
              <w:t xml:space="preserve">• </w:t>
            </w:r>
            <w:r w:rsidRPr="00BB4A55">
              <w:rPr>
                <w:rFonts w:ascii="Arial" w:hAnsi="Arial" w:cs="Arial"/>
                <w:sz w:val="22"/>
                <w:szCs w:val="22"/>
                <w:lang w:val="en-GB"/>
              </w:rPr>
              <w:t>How ethical issues affect research (unit 3)</w:t>
            </w:r>
          </w:p>
          <w:p w14:paraId="3A66AA37" w14:textId="40EEE8FA" w:rsidR="00BB4A55" w:rsidRPr="00BB4A55" w:rsidRDefault="00BB4A55" w:rsidP="00BB4A55">
            <w:pPr>
              <w:autoSpaceDE w:val="0"/>
              <w:autoSpaceDN w:val="0"/>
              <w:adjustRightInd w:val="0"/>
              <w:rPr>
                <w:rFonts w:ascii="Twinkl" w:hAnsi="Twinkl" w:cs="Calibri"/>
                <w:sz w:val="22"/>
                <w:szCs w:val="22"/>
                <w:lang w:val="en-GB"/>
              </w:rPr>
            </w:pPr>
            <w:r w:rsidRPr="00BB4A55">
              <w:rPr>
                <w:rFonts w:ascii="SymbolMT" w:hAnsi="SymbolMT" w:cs="SymbolMT"/>
                <w:sz w:val="22"/>
                <w:szCs w:val="22"/>
                <w:lang w:val="en-GB"/>
              </w:rPr>
              <w:t xml:space="preserve">• </w:t>
            </w:r>
            <w:r w:rsidRPr="00BB4A55">
              <w:rPr>
                <w:rFonts w:ascii="Arial" w:hAnsi="Arial" w:cs="Arial"/>
                <w:sz w:val="22"/>
                <w:szCs w:val="22"/>
                <w:lang w:val="en-GB"/>
              </w:rPr>
              <w:t>How factors are considered when prescribing medicines (unit 4)</w:t>
            </w:r>
          </w:p>
          <w:p w14:paraId="4DDB8BA6" w14:textId="19CD1E21" w:rsidR="001723E0" w:rsidRPr="00BB4A55" w:rsidRDefault="001723E0" w:rsidP="001307E8">
            <w:pPr>
              <w:autoSpaceDE w:val="0"/>
              <w:autoSpaceDN w:val="0"/>
              <w:adjustRightInd w:val="0"/>
              <w:rPr>
                <w:rFonts w:ascii="Twinkl" w:hAnsi="Twinkl" w:cs="Arial"/>
                <w:b/>
                <w:sz w:val="22"/>
                <w:szCs w:val="22"/>
              </w:rPr>
            </w:pPr>
            <w:r w:rsidRPr="00BB4A55">
              <w:rPr>
                <w:rFonts w:ascii="Twinkl" w:hAnsi="Twinkl" w:cs="Arial"/>
                <w:b/>
                <w:sz w:val="22"/>
                <w:szCs w:val="22"/>
              </w:rPr>
              <w:t xml:space="preserve">Literacy: </w:t>
            </w:r>
            <w:r w:rsidRPr="00BB4A55">
              <w:rPr>
                <w:rFonts w:ascii="Twinkl" w:hAnsi="Twinkl" w:cs="Arial"/>
                <w:bCs/>
                <w:sz w:val="22"/>
                <w:szCs w:val="22"/>
              </w:rPr>
              <w:t xml:space="preserve">key words and terms linked to </w:t>
            </w:r>
            <w:r w:rsidR="00953FD0" w:rsidRPr="00BB4A55">
              <w:rPr>
                <w:rFonts w:ascii="Twinkl" w:hAnsi="Twinkl" w:cs="Arial"/>
                <w:bCs/>
                <w:sz w:val="22"/>
                <w:szCs w:val="22"/>
              </w:rPr>
              <w:t>topics</w:t>
            </w:r>
            <w:r w:rsidRPr="00BB4A55">
              <w:rPr>
                <w:rFonts w:ascii="Twinkl" w:hAnsi="Twinkl" w:cs="Arial"/>
                <w:bCs/>
                <w:sz w:val="22"/>
                <w:szCs w:val="22"/>
              </w:rPr>
              <w:t>, command words when answering exam questions.</w:t>
            </w:r>
          </w:p>
          <w:p w14:paraId="7A8944AE" w14:textId="77777777" w:rsidR="001723E0" w:rsidRPr="00BB4A55" w:rsidRDefault="001723E0" w:rsidP="001307E8">
            <w:pPr>
              <w:autoSpaceDE w:val="0"/>
              <w:autoSpaceDN w:val="0"/>
              <w:adjustRightInd w:val="0"/>
              <w:rPr>
                <w:rFonts w:ascii="Twinkl" w:hAnsi="Twinkl" w:cs="Arial"/>
                <w:b/>
                <w:sz w:val="22"/>
                <w:szCs w:val="22"/>
              </w:rPr>
            </w:pPr>
            <w:r w:rsidRPr="00BB4A55">
              <w:rPr>
                <w:rFonts w:ascii="Twinkl" w:hAnsi="Twinkl" w:cs="Arial"/>
                <w:b/>
                <w:sz w:val="22"/>
                <w:szCs w:val="22"/>
              </w:rPr>
              <w:t xml:space="preserve">Numeracy: </w:t>
            </w:r>
            <w:r w:rsidRPr="00BB4A55">
              <w:rPr>
                <w:rFonts w:ascii="Twinkl" w:hAnsi="Twinkl" w:cs="Arial"/>
                <w:bCs/>
                <w:sz w:val="22"/>
                <w:szCs w:val="22"/>
              </w:rPr>
              <w:t xml:space="preserve">ability to read graphs, tables, plot data, values </w:t>
            </w:r>
            <w:proofErr w:type="spellStart"/>
            <w:r w:rsidRPr="00BB4A55">
              <w:rPr>
                <w:rFonts w:ascii="Twinkl" w:hAnsi="Twinkl" w:cs="Arial"/>
                <w:bCs/>
                <w:sz w:val="22"/>
                <w:szCs w:val="22"/>
              </w:rPr>
              <w:t>etc</w:t>
            </w:r>
            <w:proofErr w:type="spellEnd"/>
          </w:p>
          <w:p w14:paraId="7F1CBE32" w14:textId="77777777" w:rsidR="001723E0" w:rsidRPr="008A715C" w:rsidRDefault="001723E0" w:rsidP="001307E8">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Pr>
                <w:rFonts w:ascii="Twinkl" w:hAnsi="Twinkl" w:cs="Arial"/>
                <w:b/>
                <w:sz w:val="20"/>
                <w:szCs w:val="20"/>
              </w:rPr>
              <w:t xml:space="preserve"> </w:t>
            </w:r>
            <w:r>
              <w:rPr>
                <w:rFonts w:ascii="Twinkl" w:hAnsi="Twinkl" w:cs="Arial"/>
                <w:bCs/>
                <w:sz w:val="20"/>
                <w:szCs w:val="20"/>
              </w:rPr>
              <w:t>leadership, teamwork, listening to others, collaborating</w:t>
            </w:r>
          </w:p>
        </w:tc>
      </w:tr>
      <w:tr w:rsidR="001723E0" w:rsidRPr="00D83AA3" w14:paraId="5BA894D9" w14:textId="77777777" w:rsidTr="001307E8">
        <w:trPr>
          <w:trHeight w:val="334"/>
        </w:trPr>
        <w:tc>
          <w:tcPr>
            <w:tcW w:w="2100" w:type="dxa"/>
            <w:shd w:val="clear" w:color="auto" w:fill="BFBFBF" w:themeFill="background1" w:themeFillShade="BF"/>
            <w:vAlign w:val="center"/>
          </w:tcPr>
          <w:p w14:paraId="40E780A0" w14:textId="77777777" w:rsidR="001723E0" w:rsidRPr="00D83AA3" w:rsidRDefault="001723E0" w:rsidP="001307E8">
            <w:pPr>
              <w:jc w:val="center"/>
              <w:rPr>
                <w:rFonts w:ascii="Twinkl" w:hAnsi="Twinkl"/>
                <w:b/>
              </w:rPr>
            </w:pPr>
            <w:r w:rsidRPr="00D83AA3">
              <w:rPr>
                <w:rFonts w:ascii="Twinkl" w:hAnsi="Twinkl"/>
                <w:b/>
              </w:rPr>
              <w:t>Becoming future ready</w:t>
            </w:r>
          </w:p>
        </w:tc>
        <w:tc>
          <w:tcPr>
            <w:tcW w:w="8952" w:type="dxa"/>
            <w:vAlign w:val="center"/>
          </w:tcPr>
          <w:p w14:paraId="6338CFA2"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 xml:space="preserve">The applications and implications of science are dealt with in meaningful </w:t>
            </w:r>
            <w:proofErr w:type="gramStart"/>
            <w:r w:rsidRPr="0057773C">
              <w:rPr>
                <w:rFonts w:ascii="Arial" w:hAnsi="Arial" w:cs="Arial"/>
                <w:sz w:val="20"/>
                <w:szCs w:val="20"/>
                <w:lang w:val="en-GB"/>
              </w:rPr>
              <w:t>medical</w:t>
            </w:r>
            <w:proofErr w:type="gramEnd"/>
          </w:p>
          <w:p w14:paraId="158266CD"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contexts, and encourage the development of a responsible attitude to citizenship. An</w:t>
            </w:r>
          </w:p>
          <w:p w14:paraId="46AE7DFF"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 xml:space="preserve">understanding that individuals have a collective responsibility is fostered in relation </w:t>
            </w:r>
            <w:proofErr w:type="gramStart"/>
            <w:r w:rsidRPr="0057773C">
              <w:rPr>
                <w:rFonts w:ascii="Arial" w:hAnsi="Arial" w:cs="Arial"/>
                <w:sz w:val="20"/>
                <w:szCs w:val="20"/>
                <w:lang w:val="en-GB"/>
              </w:rPr>
              <w:t>to</w:t>
            </w:r>
            <w:proofErr w:type="gramEnd"/>
          </w:p>
          <w:p w14:paraId="2F2469F8"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 xml:space="preserve">various ethical issues included in the specifications such as treatment regimens, </w:t>
            </w:r>
            <w:proofErr w:type="gramStart"/>
            <w:r w:rsidRPr="0057773C">
              <w:rPr>
                <w:rFonts w:ascii="Arial" w:hAnsi="Arial" w:cs="Arial"/>
                <w:sz w:val="20"/>
                <w:szCs w:val="20"/>
                <w:lang w:val="en-GB"/>
              </w:rPr>
              <w:t>side</w:t>
            </w:r>
            <w:proofErr w:type="gramEnd"/>
          </w:p>
          <w:p w14:paraId="230209C4"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effects of medicines, cost of medicines to society. The consequences of lifestyle on</w:t>
            </w:r>
          </w:p>
          <w:p w14:paraId="203D604C"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 xml:space="preserve">health </w:t>
            </w:r>
            <w:proofErr w:type="gramStart"/>
            <w:r w:rsidRPr="0057773C">
              <w:rPr>
                <w:rFonts w:ascii="Arial" w:hAnsi="Arial" w:cs="Arial"/>
                <w:sz w:val="20"/>
                <w:szCs w:val="20"/>
                <w:lang w:val="en-GB"/>
              </w:rPr>
              <w:t>are</w:t>
            </w:r>
            <w:proofErr w:type="gramEnd"/>
            <w:r w:rsidRPr="0057773C">
              <w:rPr>
                <w:rFonts w:ascii="Arial" w:hAnsi="Arial" w:cs="Arial"/>
                <w:sz w:val="20"/>
                <w:szCs w:val="20"/>
                <w:lang w:val="en-GB"/>
              </w:rPr>
              <w:t xml:space="preserve"> also examined throughout the qualification in a number of different</w:t>
            </w:r>
          </w:p>
          <w:p w14:paraId="77587975" w14:textId="7429CF48" w:rsidR="001723E0" w:rsidRDefault="0057773C" w:rsidP="0057773C">
            <w:pPr>
              <w:rPr>
                <w:rFonts w:ascii="Arial" w:hAnsi="Arial" w:cs="Arial"/>
                <w:sz w:val="20"/>
                <w:szCs w:val="20"/>
                <w:lang w:val="en-GB"/>
              </w:rPr>
            </w:pPr>
            <w:r w:rsidRPr="0057773C">
              <w:rPr>
                <w:rFonts w:ascii="Arial" w:hAnsi="Arial" w:cs="Arial"/>
                <w:sz w:val="20"/>
                <w:szCs w:val="20"/>
                <w:lang w:val="en-GB"/>
              </w:rPr>
              <w:t>contexts.</w:t>
            </w:r>
          </w:p>
          <w:p w14:paraId="0301FDD0" w14:textId="77777777" w:rsidR="00BB5C43" w:rsidRDefault="00BB5C43" w:rsidP="0057773C">
            <w:pPr>
              <w:rPr>
                <w:rFonts w:ascii="Arial" w:hAnsi="Arial" w:cs="Arial"/>
                <w:sz w:val="20"/>
                <w:szCs w:val="20"/>
                <w:lang w:val="en-GB"/>
              </w:rPr>
            </w:pPr>
          </w:p>
          <w:p w14:paraId="73808C54" w14:textId="77777777" w:rsidR="001B096A" w:rsidRDefault="001B096A" w:rsidP="001B096A">
            <w:pPr>
              <w:autoSpaceDE w:val="0"/>
              <w:autoSpaceDN w:val="0"/>
              <w:adjustRightInd w:val="0"/>
              <w:rPr>
                <w:rFonts w:ascii="Arial" w:hAnsi="Arial" w:cs="Arial"/>
                <w:b/>
                <w:bCs/>
                <w:sz w:val="22"/>
                <w:szCs w:val="22"/>
                <w:lang w:val="en-GB"/>
              </w:rPr>
            </w:pPr>
            <w:r>
              <w:rPr>
                <w:rFonts w:ascii="Arial" w:hAnsi="Arial" w:cs="Arial"/>
                <w:b/>
                <w:bCs/>
                <w:sz w:val="22"/>
                <w:szCs w:val="22"/>
                <w:lang w:val="en-GB"/>
              </w:rPr>
              <w:t>Health and Safety Consideration</w:t>
            </w:r>
          </w:p>
          <w:p w14:paraId="2594689B"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Under UK law, health and safety is the responsibility of the employer. There </w:t>
            </w:r>
            <w:proofErr w:type="gramStart"/>
            <w:r>
              <w:rPr>
                <w:rFonts w:ascii="Arial" w:hAnsi="Arial" w:cs="Arial"/>
                <w:sz w:val="22"/>
                <w:szCs w:val="22"/>
                <w:lang w:val="en-GB"/>
              </w:rPr>
              <w:t>are</w:t>
            </w:r>
            <w:proofErr w:type="gramEnd"/>
            <w:r>
              <w:rPr>
                <w:rFonts w:ascii="Arial" w:hAnsi="Arial" w:cs="Arial"/>
                <w:sz w:val="22"/>
                <w:szCs w:val="22"/>
                <w:lang w:val="en-GB"/>
              </w:rPr>
              <w:t xml:space="preserve"> a</w:t>
            </w:r>
          </w:p>
          <w:p w14:paraId="497DBFF9"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number of regulations (notably Management of Health and Safety at Work</w:t>
            </w:r>
          </w:p>
          <w:p w14:paraId="783AA01A"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Regulations 1999 and COSHH Regulations 2002 (as amended)) that require the</w:t>
            </w:r>
          </w:p>
          <w:p w14:paraId="7C1CEDD1"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completion of a risk assessment before commencing a procedure or activity that </w:t>
            </w:r>
            <w:proofErr w:type="gramStart"/>
            <w:r>
              <w:rPr>
                <w:rFonts w:ascii="Arial" w:hAnsi="Arial" w:cs="Arial"/>
                <w:sz w:val="22"/>
                <w:szCs w:val="22"/>
                <w:lang w:val="en-GB"/>
              </w:rPr>
              <w:t>uses</w:t>
            </w:r>
            <w:proofErr w:type="gramEnd"/>
          </w:p>
          <w:p w14:paraId="7CDC6C2C"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microorganisms or chemicals.</w:t>
            </w:r>
          </w:p>
          <w:p w14:paraId="2F2EE0ED"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There are opportunities for learners to develop their own risk assessments </w:t>
            </w:r>
            <w:proofErr w:type="gramStart"/>
            <w:r>
              <w:rPr>
                <w:rFonts w:ascii="Arial" w:hAnsi="Arial" w:cs="Arial"/>
                <w:sz w:val="22"/>
                <w:szCs w:val="22"/>
                <w:lang w:val="en-GB"/>
              </w:rPr>
              <w:t>when</w:t>
            </w:r>
            <w:proofErr w:type="gramEnd"/>
          </w:p>
          <w:p w14:paraId="3477B133"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carrying out laboratory work in almost all units. Throughout the qualification there are</w:t>
            </w:r>
          </w:p>
          <w:p w14:paraId="6ED5C7D8" w14:textId="77777777" w:rsidR="001B096A" w:rsidRDefault="001B096A" w:rsidP="001B096A">
            <w:pPr>
              <w:autoSpaceDE w:val="0"/>
              <w:autoSpaceDN w:val="0"/>
              <w:adjustRightInd w:val="0"/>
              <w:rPr>
                <w:rFonts w:ascii="Arial" w:hAnsi="Arial" w:cs="Arial"/>
                <w:sz w:val="22"/>
                <w:szCs w:val="22"/>
                <w:lang w:val="en-GB"/>
              </w:rPr>
            </w:pPr>
            <w:proofErr w:type="gramStart"/>
            <w:r>
              <w:rPr>
                <w:rFonts w:ascii="Arial" w:hAnsi="Arial" w:cs="Arial"/>
                <w:sz w:val="22"/>
                <w:szCs w:val="22"/>
                <w:lang w:val="en-GB"/>
              </w:rPr>
              <w:t>also</w:t>
            </w:r>
            <w:proofErr w:type="gramEnd"/>
            <w:r>
              <w:rPr>
                <w:rFonts w:ascii="Arial" w:hAnsi="Arial" w:cs="Arial"/>
                <w:sz w:val="22"/>
                <w:szCs w:val="22"/>
                <w:lang w:val="en-GB"/>
              </w:rPr>
              <w:t xml:space="preserve"> many opportunities to underscore the requirement to work in compliance with</w:t>
            </w:r>
          </w:p>
          <w:p w14:paraId="1A608CE7"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risk assessments in order to </w:t>
            </w:r>
            <w:proofErr w:type="gramStart"/>
            <w:r>
              <w:rPr>
                <w:rFonts w:ascii="Arial" w:hAnsi="Arial" w:cs="Arial"/>
                <w:sz w:val="22"/>
                <w:szCs w:val="22"/>
                <w:lang w:val="en-GB"/>
              </w:rPr>
              <w:t>safe guard</w:t>
            </w:r>
            <w:proofErr w:type="gramEnd"/>
            <w:r>
              <w:rPr>
                <w:rFonts w:ascii="Arial" w:hAnsi="Arial" w:cs="Arial"/>
                <w:sz w:val="22"/>
                <w:szCs w:val="22"/>
                <w:lang w:val="en-GB"/>
              </w:rPr>
              <w:t xml:space="preserve"> the health and safety of workers and</w:t>
            </w:r>
          </w:p>
          <w:p w14:paraId="050A2EE5"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members of the public.</w:t>
            </w:r>
          </w:p>
          <w:p w14:paraId="72B5CAC6" w14:textId="77777777" w:rsidR="001B096A" w:rsidRDefault="001B096A" w:rsidP="001B096A">
            <w:pPr>
              <w:autoSpaceDE w:val="0"/>
              <w:autoSpaceDN w:val="0"/>
              <w:adjustRightInd w:val="0"/>
              <w:rPr>
                <w:rFonts w:ascii="Arial" w:hAnsi="Arial" w:cs="Arial"/>
                <w:b/>
                <w:bCs/>
                <w:sz w:val="22"/>
                <w:szCs w:val="22"/>
                <w:lang w:val="en-GB"/>
              </w:rPr>
            </w:pPr>
            <w:r>
              <w:rPr>
                <w:rFonts w:ascii="Arial" w:hAnsi="Arial" w:cs="Arial"/>
                <w:b/>
                <w:bCs/>
                <w:sz w:val="22"/>
                <w:szCs w:val="22"/>
                <w:lang w:val="en-GB"/>
              </w:rPr>
              <w:t>The European Dimension</w:t>
            </w:r>
          </w:p>
          <w:p w14:paraId="433107FD"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Medical issues can be rarely confined to a particular place since human actions in </w:t>
            </w:r>
            <w:proofErr w:type="gramStart"/>
            <w:r>
              <w:rPr>
                <w:rFonts w:ascii="Arial" w:hAnsi="Arial" w:cs="Arial"/>
                <w:sz w:val="22"/>
                <w:szCs w:val="22"/>
                <w:lang w:val="en-GB"/>
              </w:rPr>
              <w:t>one</w:t>
            </w:r>
            <w:proofErr w:type="gramEnd"/>
          </w:p>
          <w:p w14:paraId="4B0C4AB4"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country can also impact another. Challenges faced by medicine also need to be </w:t>
            </w:r>
            <w:proofErr w:type="gramStart"/>
            <w:r>
              <w:rPr>
                <w:rFonts w:ascii="Arial" w:hAnsi="Arial" w:cs="Arial"/>
                <w:sz w:val="22"/>
                <w:szCs w:val="22"/>
                <w:lang w:val="en-GB"/>
              </w:rPr>
              <w:t>dealt</w:t>
            </w:r>
            <w:proofErr w:type="gramEnd"/>
          </w:p>
          <w:p w14:paraId="319AB468"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with at national, </w:t>
            </w:r>
            <w:proofErr w:type="gramStart"/>
            <w:r>
              <w:rPr>
                <w:rFonts w:ascii="Arial" w:hAnsi="Arial" w:cs="Arial"/>
                <w:sz w:val="22"/>
                <w:szCs w:val="22"/>
                <w:lang w:val="en-GB"/>
              </w:rPr>
              <w:t>European</w:t>
            </w:r>
            <w:proofErr w:type="gramEnd"/>
            <w:r>
              <w:rPr>
                <w:rFonts w:ascii="Arial" w:hAnsi="Arial" w:cs="Arial"/>
                <w:sz w:val="22"/>
                <w:szCs w:val="22"/>
                <w:lang w:val="en-GB"/>
              </w:rPr>
              <w:t xml:space="preserve"> and global levels. This specification should make </w:t>
            </w:r>
            <w:proofErr w:type="gramStart"/>
            <w:r>
              <w:rPr>
                <w:rFonts w:ascii="Arial" w:hAnsi="Arial" w:cs="Arial"/>
                <w:sz w:val="22"/>
                <w:szCs w:val="22"/>
                <w:lang w:val="en-GB"/>
              </w:rPr>
              <w:t>learners</w:t>
            </w:r>
            <w:proofErr w:type="gramEnd"/>
          </w:p>
          <w:p w14:paraId="1707CB88"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aware that medical scientists need to cooperate with scientists from other countries.</w:t>
            </w:r>
          </w:p>
          <w:p w14:paraId="2117DA67"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The context led nature of the units will give centres the opportunity of </w:t>
            </w:r>
            <w:proofErr w:type="gramStart"/>
            <w:r>
              <w:rPr>
                <w:rFonts w:ascii="Arial" w:hAnsi="Arial" w:cs="Arial"/>
                <w:sz w:val="22"/>
                <w:szCs w:val="22"/>
                <w:lang w:val="en-GB"/>
              </w:rPr>
              <w:t>examining</w:t>
            </w:r>
            <w:proofErr w:type="gramEnd"/>
          </w:p>
          <w:p w14:paraId="2B226B86"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 xml:space="preserve">medical issues at a European level. Examples where a European dimension can </w:t>
            </w:r>
            <w:proofErr w:type="gramStart"/>
            <w:r>
              <w:rPr>
                <w:rFonts w:ascii="Arial" w:hAnsi="Arial" w:cs="Arial"/>
                <w:sz w:val="22"/>
                <w:szCs w:val="22"/>
                <w:lang w:val="en-GB"/>
              </w:rPr>
              <w:t>be</w:t>
            </w:r>
            <w:proofErr w:type="gramEnd"/>
          </w:p>
          <w:p w14:paraId="6283BFCE"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underscored include international protocols and European legislation relating to</w:t>
            </w:r>
          </w:p>
          <w:p w14:paraId="4C4DB1BE" w14:textId="736230A7" w:rsidR="001B096A" w:rsidRPr="0057773C" w:rsidRDefault="001B096A" w:rsidP="001B096A">
            <w:pPr>
              <w:rPr>
                <w:rFonts w:ascii="Twinkl" w:eastAsia="Times New Roman" w:hAnsi="Twinkl" w:cs="Calibri"/>
                <w:color w:val="000000"/>
                <w:sz w:val="20"/>
                <w:szCs w:val="20"/>
                <w:lang w:val="en-GB" w:eastAsia="en-GB"/>
              </w:rPr>
            </w:pPr>
            <w:r>
              <w:rPr>
                <w:rFonts w:ascii="Arial" w:hAnsi="Arial" w:cs="Arial"/>
                <w:sz w:val="22"/>
                <w:szCs w:val="22"/>
                <w:lang w:val="en-GB"/>
              </w:rPr>
              <w:t>adverse drug reactions and licencing of medicinal products for human use.</w:t>
            </w:r>
          </w:p>
        </w:tc>
      </w:tr>
      <w:tr w:rsidR="001723E0" w:rsidRPr="00D83AA3" w14:paraId="4BE2DF40" w14:textId="77777777" w:rsidTr="001307E8">
        <w:trPr>
          <w:trHeight w:val="261"/>
        </w:trPr>
        <w:tc>
          <w:tcPr>
            <w:tcW w:w="2100" w:type="dxa"/>
            <w:shd w:val="clear" w:color="auto" w:fill="000000" w:themeFill="text1"/>
            <w:vAlign w:val="center"/>
          </w:tcPr>
          <w:p w14:paraId="6D6325F7" w14:textId="77777777" w:rsidR="001723E0" w:rsidRPr="00D83AA3" w:rsidRDefault="001723E0" w:rsidP="001307E8">
            <w:pPr>
              <w:jc w:val="center"/>
              <w:rPr>
                <w:rFonts w:ascii="Twinkl" w:hAnsi="Twinkl"/>
                <w:b/>
                <w:sz w:val="22"/>
                <w:szCs w:val="22"/>
              </w:rPr>
            </w:pPr>
            <w:r>
              <w:rPr>
                <w:rFonts w:ascii="Twinkl" w:hAnsi="Twinkl"/>
                <w:b/>
                <w:sz w:val="22"/>
                <w:szCs w:val="22"/>
              </w:rPr>
              <w:lastRenderedPageBreak/>
              <w:t>Adaptation</w:t>
            </w:r>
          </w:p>
        </w:tc>
        <w:tc>
          <w:tcPr>
            <w:tcW w:w="8952" w:type="dxa"/>
            <w:vMerge w:val="restart"/>
            <w:vAlign w:val="center"/>
          </w:tcPr>
          <w:p w14:paraId="0FB46C78" w14:textId="77777777" w:rsidR="001723E0" w:rsidRPr="00B02EC1" w:rsidRDefault="001723E0" w:rsidP="001307E8">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17B1F543" w14:textId="77777777" w:rsidR="001723E0" w:rsidRPr="00B02EC1" w:rsidRDefault="001723E0" w:rsidP="001307E8">
            <w:pPr>
              <w:pStyle w:val="ListParagraph"/>
              <w:ind w:left="0"/>
              <w:rPr>
                <w:rFonts w:ascii="Twinkl" w:hAnsi="Twinkl" w:cstheme="minorHAnsi"/>
                <w:b/>
                <w:sz w:val="20"/>
                <w:szCs w:val="20"/>
              </w:rPr>
            </w:pPr>
            <w:r w:rsidRPr="00B02EC1">
              <w:rPr>
                <w:rFonts w:ascii="Twinkl" w:hAnsi="Twinkl" w:cstheme="minorHAnsi"/>
                <w:b/>
                <w:sz w:val="20"/>
                <w:szCs w:val="20"/>
              </w:rPr>
              <w:t xml:space="preserve">By product: </w:t>
            </w:r>
            <w:r w:rsidRPr="00452DCB">
              <w:rPr>
                <w:rFonts w:ascii="Twinkl" w:hAnsi="Twinkl" w:cstheme="minorHAnsi"/>
                <w:bCs/>
                <w:sz w:val="20"/>
                <w:szCs w:val="20"/>
              </w:rPr>
              <w:t>written information on learning mats, some through practical setting.</w:t>
            </w:r>
          </w:p>
          <w:p w14:paraId="211AD1A0" w14:textId="77777777" w:rsidR="001723E0" w:rsidRPr="00692034" w:rsidRDefault="001723E0" w:rsidP="001307E8">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 xml:space="preserve">By resource: </w:t>
            </w:r>
            <w:r>
              <w:rPr>
                <w:rFonts w:ascii="Twinkl" w:hAnsi="Twinkl" w:cstheme="minorHAnsi"/>
                <w:color w:val="000000"/>
                <w:sz w:val="20"/>
                <w:szCs w:val="20"/>
              </w:rPr>
              <w:t xml:space="preserve">textbooks, videos, learning mats, handouts to read through, graphs, </w:t>
            </w:r>
            <w:proofErr w:type="gramStart"/>
            <w:r>
              <w:rPr>
                <w:rFonts w:ascii="Twinkl" w:hAnsi="Twinkl" w:cstheme="minorHAnsi"/>
                <w:color w:val="000000"/>
                <w:sz w:val="20"/>
                <w:szCs w:val="20"/>
              </w:rPr>
              <w:t>tables</w:t>
            </w:r>
            <w:proofErr w:type="gramEnd"/>
            <w:r>
              <w:rPr>
                <w:rFonts w:ascii="Twinkl" w:hAnsi="Twinkl" w:cstheme="minorHAnsi"/>
                <w:color w:val="000000"/>
                <w:sz w:val="20"/>
                <w:szCs w:val="20"/>
              </w:rPr>
              <w:t xml:space="preserve"> and charts.</w:t>
            </w:r>
          </w:p>
          <w:p w14:paraId="1CE8A924" w14:textId="77777777" w:rsidR="001723E0" w:rsidRPr="00B02EC1" w:rsidRDefault="001723E0" w:rsidP="001307E8">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xml:space="preserve">: by providing different levels of supervision and </w:t>
            </w:r>
            <w:proofErr w:type="gramStart"/>
            <w:r w:rsidRPr="00B02EC1">
              <w:rPr>
                <w:rStyle w:val="normaltextrun"/>
                <w:rFonts w:ascii="Twinkl" w:hAnsi="Twinkl" w:cs="Arial"/>
                <w:color w:val="000000"/>
                <w:sz w:val="20"/>
                <w:szCs w:val="20"/>
                <w:shd w:val="clear" w:color="auto" w:fill="FFFFFF"/>
              </w:rPr>
              <w:t>support</w:t>
            </w:r>
            <w:proofErr w:type="gramEnd"/>
          </w:p>
          <w:p w14:paraId="24AD7E88" w14:textId="77777777" w:rsidR="001723E0" w:rsidRPr="00B02EC1" w:rsidRDefault="001723E0" w:rsidP="001307E8">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2EDBE094" w14:textId="77777777" w:rsidR="001723E0" w:rsidRPr="00B02EC1" w:rsidRDefault="001723E0" w:rsidP="001307E8">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444357F2" w14:textId="77777777" w:rsidR="001723E0" w:rsidRPr="00B02EC1" w:rsidRDefault="001723E0" w:rsidP="001307E8">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6691B202" w14:textId="77777777" w:rsidR="001723E0" w:rsidRPr="00B02EC1" w:rsidRDefault="001723E0" w:rsidP="001307E8">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7E66E16C" w14:textId="77777777" w:rsidR="001723E0" w:rsidRPr="00B02EC1" w:rsidRDefault="001723E0" w:rsidP="001307E8">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This QFT/SEND provision will be explicit within the lesson-by-lesson schemes of work.</w:t>
            </w:r>
          </w:p>
        </w:tc>
      </w:tr>
      <w:tr w:rsidR="001723E0" w:rsidRPr="00D83AA3" w14:paraId="64729FFD" w14:textId="77777777" w:rsidTr="001307E8">
        <w:trPr>
          <w:trHeight w:val="1710"/>
        </w:trPr>
        <w:tc>
          <w:tcPr>
            <w:tcW w:w="2100" w:type="dxa"/>
            <w:shd w:val="clear" w:color="auto" w:fill="BFBFBF" w:themeFill="background1" w:themeFillShade="BF"/>
            <w:vAlign w:val="center"/>
          </w:tcPr>
          <w:p w14:paraId="599B6D32" w14:textId="77777777" w:rsidR="001723E0" w:rsidRPr="00D83AA3" w:rsidRDefault="001723E0" w:rsidP="001307E8">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3AB8F3ED" w14:textId="77777777" w:rsidR="001723E0" w:rsidRPr="00B02EC1" w:rsidRDefault="001723E0" w:rsidP="001307E8">
            <w:pPr>
              <w:textAlignment w:val="baseline"/>
              <w:rPr>
                <w:rFonts w:ascii="Twinkl" w:eastAsia="Times New Roman" w:hAnsi="Twinkl" w:cstheme="minorHAnsi"/>
                <w:sz w:val="20"/>
                <w:szCs w:val="20"/>
                <w:lang w:val="en-GB" w:eastAsia="en-GB"/>
              </w:rPr>
            </w:pPr>
          </w:p>
        </w:tc>
      </w:tr>
      <w:tr w:rsidR="001723E0" w:rsidRPr="00D83AA3" w14:paraId="73133E4A" w14:textId="77777777" w:rsidTr="001307E8">
        <w:trPr>
          <w:trHeight w:val="642"/>
        </w:trPr>
        <w:tc>
          <w:tcPr>
            <w:tcW w:w="2100" w:type="dxa"/>
            <w:shd w:val="clear" w:color="auto" w:fill="000000" w:themeFill="text1"/>
            <w:vAlign w:val="center"/>
          </w:tcPr>
          <w:p w14:paraId="1C70A566" w14:textId="77777777" w:rsidR="001723E0" w:rsidRPr="00D83AA3" w:rsidRDefault="001723E0" w:rsidP="001307E8">
            <w:pPr>
              <w:jc w:val="center"/>
              <w:rPr>
                <w:rFonts w:ascii="Twinkl" w:hAnsi="Twinkl"/>
                <w:b/>
              </w:rPr>
            </w:pPr>
            <w:r w:rsidRPr="00D83AA3">
              <w:rPr>
                <w:rFonts w:ascii="Twinkl" w:hAnsi="Twinkl"/>
                <w:b/>
              </w:rPr>
              <w:t>Implementation</w:t>
            </w:r>
          </w:p>
          <w:p w14:paraId="2885F088" w14:textId="77777777" w:rsidR="001723E0" w:rsidRPr="00D83AA3" w:rsidRDefault="001723E0" w:rsidP="001307E8">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09F76611" w14:textId="47CEC4F9" w:rsidR="0070188C" w:rsidRPr="0070188C" w:rsidRDefault="005D1590" w:rsidP="0068106E">
            <w:pPr>
              <w:autoSpaceDE w:val="0"/>
              <w:autoSpaceDN w:val="0"/>
              <w:adjustRightInd w:val="0"/>
              <w:rPr>
                <w:rFonts w:ascii="Arial" w:hAnsi="Arial" w:cs="Arial"/>
                <w:sz w:val="22"/>
                <w:szCs w:val="22"/>
                <w:lang w:val="en-GB"/>
              </w:rPr>
            </w:pPr>
            <w:r w:rsidRPr="005D1590">
              <w:rPr>
                <w:rFonts w:ascii="Arial" w:hAnsi="Arial" w:cs="Arial"/>
                <w:sz w:val="22"/>
                <w:szCs w:val="22"/>
                <w:lang w:val="en-GB"/>
              </w:rPr>
              <w:drawing>
                <wp:inline distT="0" distB="0" distL="0" distR="0" wp14:anchorId="6267717A" wp14:editId="3644C51A">
                  <wp:extent cx="5712129" cy="332214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9628" cy="3326507"/>
                          </a:xfrm>
                          <a:prstGeom prst="rect">
                            <a:avLst/>
                          </a:prstGeom>
                        </pic:spPr>
                      </pic:pic>
                    </a:graphicData>
                  </a:graphic>
                </wp:inline>
              </w:drawing>
            </w:r>
          </w:p>
        </w:tc>
      </w:tr>
      <w:tr w:rsidR="001723E0" w:rsidRPr="00D83AA3" w14:paraId="5AC3DE2A" w14:textId="77777777" w:rsidTr="001307E8">
        <w:trPr>
          <w:trHeight w:val="1760"/>
        </w:trPr>
        <w:tc>
          <w:tcPr>
            <w:tcW w:w="2100" w:type="dxa"/>
            <w:shd w:val="clear" w:color="auto" w:fill="BFBFBF" w:themeFill="background1" w:themeFillShade="BF"/>
            <w:vAlign w:val="center"/>
          </w:tcPr>
          <w:p w14:paraId="44498BDA" w14:textId="77777777" w:rsidR="001723E0" w:rsidRPr="00D83AA3" w:rsidRDefault="001723E0" w:rsidP="001307E8">
            <w:pPr>
              <w:jc w:val="center"/>
              <w:rPr>
                <w:rFonts w:ascii="Twinkl" w:hAnsi="Twinkl"/>
                <w:b/>
              </w:rPr>
            </w:pPr>
            <w:r w:rsidRPr="00D83AA3">
              <w:rPr>
                <w:rFonts w:ascii="Twinkl" w:hAnsi="Twinkl"/>
                <w:b/>
              </w:rPr>
              <w:t>Learning Outcomes (Knowledge)</w:t>
            </w:r>
          </w:p>
        </w:tc>
        <w:tc>
          <w:tcPr>
            <w:tcW w:w="8952" w:type="dxa"/>
            <w:vMerge/>
            <w:vAlign w:val="center"/>
          </w:tcPr>
          <w:p w14:paraId="5487047C" w14:textId="77777777" w:rsidR="001723E0" w:rsidRPr="00B02EC1" w:rsidRDefault="001723E0" w:rsidP="001307E8">
            <w:pPr>
              <w:pStyle w:val="ListParagraph"/>
              <w:ind w:left="0"/>
              <w:rPr>
                <w:rFonts w:ascii="Twinkl" w:hAnsi="Twinkl"/>
                <w:bCs/>
                <w:sz w:val="20"/>
                <w:szCs w:val="20"/>
              </w:rPr>
            </w:pPr>
          </w:p>
        </w:tc>
      </w:tr>
      <w:tr w:rsidR="001723E0" w:rsidRPr="00D83AA3" w14:paraId="7A934542" w14:textId="77777777" w:rsidTr="001307E8">
        <w:trPr>
          <w:trHeight w:val="334"/>
        </w:trPr>
        <w:tc>
          <w:tcPr>
            <w:tcW w:w="2100" w:type="dxa"/>
            <w:shd w:val="clear" w:color="auto" w:fill="BFBFBF" w:themeFill="background1" w:themeFillShade="BF"/>
            <w:vAlign w:val="center"/>
          </w:tcPr>
          <w:p w14:paraId="272ED849" w14:textId="77777777" w:rsidR="001723E0" w:rsidRPr="00D83AA3" w:rsidRDefault="001723E0" w:rsidP="001307E8">
            <w:pPr>
              <w:jc w:val="center"/>
              <w:rPr>
                <w:rFonts w:ascii="Twinkl" w:hAnsi="Twinkl"/>
                <w:b/>
              </w:rPr>
            </w:pPr>
            <w:r w:rsidRPr="00D83AA3">
              <w:rPr>
                <w:rFonts w:ascii="Twinkl" w:hAnsi="Twinkl"/>
                <w:b/>
              </w:rPr>
              <w:t xml:space="preserve">Current learning to be developed in </w:t>
            </w:r>
            <w:r w:rsidRPr="00D83AA3">
              <w:rPr>
                <w:rFonts w:ascii="Twinkl" w:hAnsi="Twinkl"/>
                <w:b/>
              </w:rPr>
              <w:lastRenderedPageBreak/>
              <w:t>the future within:</w:t>
            </w:r>
          </w:p>
        </w:tc>
        <w:tc>
          <w:tcPr>
            <w:tcW w:w="8952" w:type="dxa"/>
            <w:shd w:val="clear" w:color="auto" w:fill="FFFFFF" w:themeFill="background1"/>
          </w:tcPr>
          <w:p w14:paraId="4B2C38FE" w14:textId="0B64F75F" w:rsidR="001723E0" w:rsidRPr="00065E16" w:rsidRDefault="001723E0" w:rsidP="001307E8">
            <w:pPr>
              <w:shd w:val="clear" w:color="auto" w:fill="FFFFFF"/>
              <w:textAlignment w:val="baseline"/>
              <w:rPr>
                <w:rFonts w:ascii="Twinkl" w:eastAsia="Times New Roman" w:hAnsi="Twinkl" w:cstheme="minorHAnsi"/>
                <w:sz w:val="20"/>
                <w:szCs w:val="20"/>
                <w:lang w:val="en-GB" w:eastAsia="en-GB"/>
              </w:rPr>
            </w:pPr>
          </w:p>
        </w:tc>
      </w:tr>
      <w:tr w:rsidR="001723E0" w:rsidRPr="00D83AA3" w14:paraId="2B2056C2" w14:textId="77777777" w:rsidTr="001307E8">
        <w:trPr>
          <w:trHeight w:val="702"/>
        </w:trPr>
        <w:tc>
          <w:tcPr>
            <w:tcW w:w="2100" w:type="dxa"/>
            <w:shd w:val="clear" w:color="auto" w:fill="BFBFBF" w:themeFill="background1" w:themeFillShade="BF"/>
            <w:vAlign w:val="center"/>
          </w:tcPr>
          <w:p w14:paraId="7ED4DEC6" w14:textId="77777777" w:rsidR="001723E0" w:rsidRPr="00D83AA3" w:rsidRDefault="001723E0" w:rsidP="001307E8">
            <w:pPr>
              <w:jc w:val="center"/>
              <w:rPr>
                <w:rFonts w:ascii="Twinkl" w:hAnsi="Twinkl"/>
                <w:b/>
                <w:sz w:val="28"/>
                <w:szCs w:val="28"/>
              </w:rPr>
            </w:pPr>
            <w:r>
              <w:rPr>
                <w:rFonts w:ascii="Twinkl" w:hAnsi="Twinkl"/>
                <w:b/>
              </w:rPr>
              <w:t>Assessment</w:t>
            </w:r>
          </w:p>
        </w:tc>
        <w:tc>
          <w:tcPr>
            <w:tcW w:w="8952" w:type="dxa"/>
            <w:vAlign w:val="center"/>
          </w:tcPr>
          <w:p w14:paraId="47733E0D" w14:textId="77777777" w:rsidR="001723E0" w:rsidRPr="00B02EC1" w:rsidRDefault="001723E0" w:rsidP="001307E8">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assessment maps for formative and summative assessment opportunities.</w:t>
            </w:r>
          </w:p>
        </w:tc>
      </w:tr>
      <w:tr w:rsidR="001723E0" w:rsidRPr="00D83AA3" w14:paraId="73B0E3C4" w14:textId="77777777" w:rsidTr="001307E8">
        <w:trPr>
          <w:trHeight w:val="399"/>
        </w:trPr>
        <w:tc>
          <w:tcPr>
            <w:tcW w:w="2100" w:type="dxa"/>
            <w:shd w:val="clear" w:color="auto" w:fill="000000" w:themeFill="text1"/>
            <w:vAlign w:val="center"/>
          </w:tcPr>
          <w:p w14:paraId="12AD28BF" w14:textId="77777777" w:rsidR="001723E0" w:rsidRPr="00D83AA3" w:rsidRDefault="001723E0" w:rsidP="001307E8">
            <w:pPr>
              <w:jc w:val="center"/>
              <w:rPr>
                <w:rFonts w:ascii="Twinkl" w:hAnsi="Twinkl"/>
                <w:b/>
              </w:rPr>
            </w:pPr>
            <w:r>
              <w:rPr>
                <w:rFonts w:ascii="Twinkl" w:hAnsi="Twinkl"/>
                <w:b/>
              </w:rPr>
              <w:t>Impact</w:t>
            </w:r>
          </w:p>
        </w:tc>
        <w:tc>
          <w:tcPr>
            <w:tcW w:w="8952" w:type="dxa"/>
            <w:vAlign w:val="center"/>
          </w:tcPr>
          <w:p w14:paraId="1800D9D1" w14:textId="77777777" w:rsidR="001723E0" w:rsidRPr="00B02EC1" w:rsidRDefault="001723E0" w:rsidP="001307E8">
            <w:pPr>
              <w:pStyle w:val="ListParagraph"/>
              <w:ind w:left="0"/>
              <w:rPr>
                <w:rFonts w:ascii="Twinkl" w:hAnsi="Twinkl"/>
                <w:bCs/>
                <w:sz w:val="20"/>
                <w:szCs w:val="20"/>
              </w:rPr>
            </w:pPr>
            <w:r w:rsidRPr="00B02EC1">
              <w:rPr>
                <w:rFonts w:ascii="Twinkl" w:hAnsi="Twinkl"/>
                <w:bCs/>
                <w:sz w:val="20"/>
                <w:szCs w:val="20"/>
              </w:rPr>
              <w:t>Attainment and Progress – Refer to assessment results / data review documentation.</w:t>
            </w:r>
          </w:p>
        </w:tc>
      </w:tr>
    </w:tbl>
    <w:p w14:paraId="312E7724" w14:textId="77777777" w:rsidR="003B3684" w:rsidRDefault="003B3684"/>
    <w:sectPr w:rsidR="003B36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inkl">
    <w:altName w:val="Calibri"/>
    <w:charset w:val="00"/>
    <w:family w:val="auto"/>
    <w:pitch w:val="variable"/>
    <w:sig w:usb0="A00000A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D2116"/>
    <w:multiLevelType w:val="hybridMultilevel"/>
    <w:tmpl w:val="E4A2A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8137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E0"/>
    <w:rsid w:val="00011487"/>
    <w:rsid w:val="000C4C73"/>
    <w:rsid w:val="000D1FED"/>
    <w:rsid w:val="001340F8"/>
    <w:rsid w:val="001723E0"/>
    <w:rsid w:val="001A0E93"/>
    <w:rsid w:val="001B096A"/>
    <w:rsid w:val="001D01E3"/>
    <w:rsid w:val="00230C61"/>
    <w:rsid w:val="002410FE"/>
    <w:rsid w:val="002550F8"/>
    <w:rsid w:val="00264600"/>
    <w:rsid w:val="00277780"/>
    <w:rsid w:val="002A1281"/>
    <w:rsid w:val="002E4D43"/>
    <w:rsid w:val="00306387"/>
    <w:rsid w:val="00312CE1"/>
    <w:rsid w:val="003575AC"/>
    <w:rsid w:val="00364D44"/>
    <w:rsid w:val="003A48A3"/>
    <w:rsid w:val="003B0F42"/>
    <w:rsid w:val="003B3684"/>
    <w:rsid w:val="003D40DF"/>
    <w:rsid w:val="003F12D7"/>
    <w:rsid w:val="003F5096"/>
    <w:rsid w:val="0040186A"/>
    <w:rsid w:val="00427694"/>
    <w:rsid w:val="004928A2"/>
    <w:rsid w:val="00495097"/>
    <w:rsid w:val="00495AD6"/>
    <w:rsid w:val="004D2714"/>
    <w:rsid w:val="00506740"/>
    <w:rsid w:val="0052013A"/>
    <w:rsid w:val="0057773C"/>
    <w:rsid w:val="00580DD0"/>
    <w:rsid w:val="00590E0B"/>
    <w:rsid w:val="005A0A8C"/>
    <w:rsid w:val="005D1590"/>
    <w:rsid w:val="006468CD"/>
    <w:rsid w:val="0065028B"/>
    <w:rsid w:val="00652B2E"/>
    <w:rsid w:val="006649BD"/>
    <w:rsid w:val="00665FD7"/>
    <w:rsid w:val="0068106E"/>
    <w:rsid w:val="00697ECF"/>
    <w:rsid w:val="0070188C"/>
    <w:rsid w:val="007163A1"/>
    <w:rsid w:val="00716B5D"/>
    <w:rsid w:val="007344A7"/>
    <w:rsid w:val="007370AF"/>
    <w:rsid w:val="007674DB"/>
    <w:rsid w:val="0079263E"/>
    <w:rsid w:val="007C04E6"/>
    <w:rsid w:val="007C6F6E"/>
    <w:rsid w:val="007D3C0C"/>
    <w:rsid w:val="00873B9C"/>
    <w:rsid w:val="00882BEF"/>
    <w:rsid w:val="00925529"/>
    <w:rsid w:val="00932D4C"/>
    <w:rsid w:val="00953FD0"/>
    <w:rsid w:val="00967D20"/>
    <w:rsid w:val="009D5FAD"/>
    <w:rsid w:val="00A22718"/>
    <w:rsid w:val="00A41C1D"/>
    <w:rsid w:val="00A8781E"/>
    <w:rsid w:val="00A95D9B"/>
    <w:rsid w:val="00AB6B4B"/>
    <w:rsid w:val="00AF0DB1"/>
    <w:rsid w:val="00AF573B"/>
    <w:rsid w:val="00B179DD"/>
    <w:rsid w:val="00B37FDD"/>
    <w:rsid w:val="00BB4A55"/>
    <w:rsid w:val="00BB5C43"/>
    <w:rsid w:val="00BD744F"/>
    <w:rsid w:val="00C27CF0"/>
    <w:rsid w:val="00C6561B"/>
    <w:rsid w:val="00C76EED"/>
    <w:rsid w:val="00C978B4"/>
    <w:rsid w:val="00CA7371"/>
    <w:rsid w:val="00CB1539"/>
    <w:rsid w:val="00CE1A3B"/>
    <w:rsid w:val="00D350A7"/>
    <w:rsid w:val="00D653E9"/>
    <w:rsid w:val="00D81220"/>
    <w:rsid w:val="00D846C9"/>
    <w:rsid w:val="00D84D1B"/>
    <w:rsid w:val="00DC718B"/>
    <w:rsid w:val="00E16054"/>
    <w:rsid w:val="00E40047"/>
    <w:rsid w:val="00E4472C"/>
    <w:rsid w:val="00E44F8C"/>
    <w:rsid w:val="00E62465"/>
    <w:rsid w:val="00EC2FBD"/>
    <w:rsid w:val="00EE5D44"/>
    <w:rsid w:val="00EE7064"/>
    <w:rsid w:val="00EE7D5B"/>
    <w:rsid w:val="00F13458"/>
    <w:rsid w:val="00F148F6"/>
    <w:rsid w:val="00F30DFD"/>
    <w:rsid w:val="00F43EA1"/>
    <w:rsid w:val="00F46D8E"/>
    <w:rsid w:val="00F92B74"/>
    <w:rsid w:val="00FA4E89"/>
    <w:rsid w:val="00FD05FF"/>
    <w:rsid w:val="00FD51A9"/>
    <w:rsid w:val="00FE3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F2A9"/>
  <w15:chartTrackingRefBased/>
  <w15:docId w15:val="{50E5D9AD-6BED-45DA-9723-DF2A4772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3E0"/>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23E0"/>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723E0"/>
    <w:pPr>
      <w:ind w:left="720"/>
      <w:contextualSpacing/>
    </w:pPr>
  </w:style>
  <w:style w:type="character" w:customStyle="1" w:styleId="normaltextrun">
    <w:name w:val="normaltextrun"/>
    <w:basedOn w:val="DefaultParagraphFont"/>
    <w:rsid w:val="001723E0"/>
  </w:style>
  <w:style w:type="character" w:customStyle="1" w:styleId="eop">
    <w:name w:val="eop"/>
    <w:basedOn w:val="DefaultParagraphFont"/>
    <w:rsid w:val="00172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9" ma:contentTypeDescription="Create a new document." ma:contentTypeScope="" ma:versionID="5f9ee8e394d0ada1ef3f6464ffe159bf">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0df4fd7dbfa4602b20f193a6c123af5b"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8d6755502714630ab98f00ea26ef943 xmlns="d3d4419c-0be6-49ec-9312-a60fa7bb70b1">
      <Terms xmlns="http://schemas.microsoft.com/office/infopath/2007/PartnerControls"/>
    </k8d6755502714630ab98f00ea26ef943>
    <TaxCatchAll xmlns="d3d4419c-0be6-49ec-9312-a60fa7bb70b1" xsi:nil="true"/>
  </documentManagement>
</p:properties>
</file>

<file path=customXml/itemProps1.xml><?xml version="1.0" encoding="utf-8"?>
<ds:datastoreItem xmlns:ds="http://schemas.openxmlformats.org/officeDocument/2006/customXml" ds:itemID="{175544C8-6DEE-408C-B6FC-EB895BD46E38}"/>
</file>

<file path=customXml/itemProps2.xml><?xml version="1.0" encoding="utf-8"?>
<ds:datastoreItem xmlns:ds="http://schemas.openxmlformats.org/officeDocument/2006/customXml" ds:itemID="{15421A8E-3A28-4A3F-882A-CEAD91D43175}">
  <ds:schemaRefs>
    <ds:schemaRef ds:uri="http://schemas.microsoft.com/sharepoint/v3/contenttype/forms"/>
  </ds:schemaRefs>
</ds:datastoreItem>
</file>

<file path=customXml/itemProps3.xml><?xml version="1.0" encoding="utf-8"?>
<ds:datastoreItem xmlns:ds="http://schemas.openxmlformats.org/officeDocument/2006/customXml" ds:itemID="{58BD6EE7-A72B-40DF-9ED4-86D91C1E5B9C}">
  <ds:schemaRefs>
    <ds:schemaRef ds:uri="http://schemas.microsoft.com/office/2006/metadata/properties"/>
    <ds:schemaRef ds:uri="http://schemas.microsoft.com/office/infopath/2007/PartnerControls"/>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993</Words>
  <Characters>5664</Characters>
  <Application>Microsoft Office Word</Application>
  <DocSecurity>0</DocSecurity>
  <Lines>47</Lines>
  <Paragraphs>13</Paragraphs>
  <ScaleCrop>false</ScaleCrop>
  <Company>Crompton House C of E School</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S.Knight-Percival</dc:creator>
  <cp:keywords/>
  <dc:description/>
  <cp:lastModifiedBy>H.Collins</cp:lastModifiedBy>
  <cp:revision>2</cp:revision>
  <dcterms:created xsi:type="dcterms:W3CDTF">2023-06-16T08:49:00Z</dcterms:created>
  <dcterms:modified xsi:type="dcterms:W3CDTF">2023-06-16T08:49:00Z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Staff Category">
    <vt:lpwstr/>
  </property>
</Properties>
</file>