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151B0FF3">
        <w:trPr>
          <w:trHeight w:val="231"/>
        </w:trPr>
        <w:tc>
          <w:tcPr>
            <w:tcW w:w="11052" w:type="dxa"/>
            <w:gridSpan w:val="2"/>
            <w:vAlign w:val="center"/>
          </w:tcPr>
          <w:p w14:paraId="4E3A8083" w14:textId="776EB63D" w:rsidR="00E741AE" w:rsidRPr="00D83AA3" w:rsidRDefault="00F72BA4" w:rsidP="151B0FF3">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151B0FF3">
              <w:rPr>
                <w:rFonts w:ascii="Twinkl" w:hAnsi="Twinkl"/>
                <w:b/>
                <w:bCs/>
                <w:sz w:val="36"/>
                <w:szCs w:val="36"/>
              </w:rPr>
              <w:t xml:space="preserve">YEAR </w:t>
            </w:r>
            <w:r w:rsidR="001E73E7" w:rsidRPr="151B0FF3">
              <w:rPr>
                <w:rFonts w:ascii="Twinkl" w:hAnsi="Twinkl"/>
                <w:b/>
                <w:bCs/>
                <w:sz w:val="36"/>
                <w:szCs w:val="36"/>
              </w:rPr>
              <w:t xml:space="preserve">1 </w:t>
            </w:r>
            <w:r w:rsidR="00254CD3" w:rsidRPr="151B0FF3">
              <w:rPr>
                <w:rFonts w:ascii="Twinkl" w:hAnsi="Twinkl"/>
                <w:b/>
                <w:bCs/>
                <w:sz w:val="36"/>
                <w:szCs w:val="36"/>
              </w:rPr>
              <w:t>20</w:t>
            </w:r>
            <w:r w:rsidR="00535341" w:rsidRPr="151B0FF3">
              <w:rPr>
                <w:rFonts w:ascii="Twinkl" w:hAnsi="Twinkl"/>
                <w:b/>
                <w:bCs/>
                <w:sz w:val="36"/>
                <w:szCs w:val="36"/>
              </w:rPr>
              <w:t>2</w:t>
            </w:r>
            <w:r w:rsidR="49EB97C5" w:rsidRPr="151B0FF3">
              <w:rPr>
                <w:rFonts w:ascii="Twinkl" w:hAnsi="Twinkl"/>
                <w:b/>
                <w:bCs/>
                <w:sz w:val="36"/>
                <w:szCs w:val="36"/>
              </w:rPr>
              <w:t>3</w:t>
            </w:r>
            <w:r w:rsidR="00BE317D" w:rsidRPr="151B0FF3">
              <w:rPr>
                <w:rFonts w:ascii="Twinkl" w:hAnsi="Twinkl"/>
                <w:b/>
                <w:bCs/>
                <w:sz w:val="36"/>
                <w:szCs w:val="36"/>
              </w:rPr>
              <w:t>-202</w:t>
            </w:r>
            <w:r w:rsidR="6D6AAE60" w:rsidRPr="151B0FF3">
              <w:rPr>
                <w:rFonts w:ascii="Twinkl" w:hAnsi="Twinkl"/>
                <w:b/>
                <w:bCs/>
                <w:sz w:val="36"/>
                <w:szCs w:val="36"/>
              </w:rPr>
              <w:t>4</w:t>
            </w:r>
            <w:r w:rsidR="00676160" w:rsidRPr="151B0FF3">
              <w:rPr>
                <w:rFonts w:ascii="Twinkl" w:hAnsi="Twinkl"/>
                <w:b/>
                <w:bCs/>
                <w:sz w:val="36"/>
                <w:szCs w:val="36"/>
              </w:rPr>
              <w:t xml:space="preserve"> </w:t>
            </w:r>
            <w:r w:rsidR="001E73E7" w:rsidRPr="151B0FF3">
              <w:rPr>
                <w:rFonts w:ascii="Twinkl" w:hAnsi="Twinkl"/>
                <w:b/>
                <w:bCs/>
                <w:sz w:val="36"/>
                <w:szCs w:val="36"/>
              </w:rPr>
              <w:t>Autumn 2</w:t>
            </w:r>
            <w:r w:rsidR="00387EAA" w:rsidRPr="151B0FF3">
              <w:rPr>
                <w:rFonts w:ascii="Twinkl" w:hAnsi="Twinkl"/>
                <w:b/>
                <w:bCs/>
                <w:sz w:val="36"/>
                <w:szCs w:val="36"/>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4EF5BEFB"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DE054A">
              <w:rPr>
                <w:rFonts w:ascii="Twinkl" w:hAnsi="Twinkl"/>
                <w:b/>
                <w:sz w:val="32"/>
                <w:szCs w:val="32"/>
              </w:rPr>
              <w:t xml:space="preserve"> Biopsychology</w:t>
            </w:r>
          </w:p>
        </w:tc>
      </w:tr>
      <w:tr w:rsidR="001A3057" w:rsidRPr="00D83AA3" w14:paraId="6E82A71D" w14:textId="77777777" w:rsidTr="151B0FF3">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47F82B4D" w:rsidR="001A3057" w:rsidRPr="00B02EC1" w:rsidRDefault="00D9781E" w:rsidP="0036480A">
            <w:pPr>
              <w:autoSpaceDE w:val="0"/>
              <w:autoSpaceDN w:val="0"/>
              <w:adjustRightInd w:val="0"/>
              <w:jc w:val="center"/>
              <w:rPr>
                <w:rFonts w:cstheme="minorHAnsi"/>
                <w:b/>
                <w:bCs/>
                <w:sz w:val="20"/>
                <w:szCs w:val="20"/>
              </w:rPr>
            </w:pPr>
            <w:r>
              <w:rPr>
                <w:rFonts w:cstheme="minorHAnsi"/>
                <w:b/>
                <w:bCs/>
                <w:sz w:val="20"/>
                <w:szCs w:val="20"/>
              </w:rPr>
              <w:t>P</w:t>
            </w:r>
            <w:r w:rsidR="001A3057" w:rsidRPr="00B02EC1">
              <w:rPr>
                <w:rFonts w:cstheme="minorHAnsi"/>
                <w:b/>
                <w:bCs/>
                <w:sz w:val="20"/>
                <w:szCs w:val="20"/>
              </w:rPr>
              <w:t xml:space="preserve">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r w:rsidR="001E73E7">
              <w:rPr>
                <w:rFonts w:cstheme="minorHAnsi"/>
                <w:b/>
                <w:bCs/>
                <w:sz w:val="20"/>
                <w:szCs w:val="20"/>
              </w:rPr>
              <w:t xml:space="preserve"> Biopsychology </w:t>
            </w:r>
          </w:p>
          <w:p w14:paraId="41406D80" w14:textId="77777777" w:rsidR="001E73E7" w:rsidRDefault="001E73E7" w:rsidP="001E73E7">
            <w:pPr>
              <w:rPr>
                <w:b/>
              </w:rPr>
            </w:pPr>
          </w:p>
          <w:p w14:paraId="2DD6C4C6" w14:textId="0D564276" w:rsidR="001E73E7" w:rsidRPr="001E73E7" w:rsidRDefault="001E73E7" w:rsidP="001E73E7">
            <w:pPr>
              <w:rPr>
                <w:rFonts w:cstheme="minorHAnsi"/>
                <w:b/>
                <w:sz w:val="20"/>
                <w:szCs w:val="20"/>
              </w:rPr>
            </w:pPr>
            <w:r w:rsidRPr="001E73E7">
              <w:rPr>
                <w:rFonts w:cstheme="minorHAnsi"/>
                <w:b/>
                <w:sz w:val="20"/>
                <w:szCs w:val="20"/>
              </w:rPr>
              <w:t>Why do we teach this to students?</w:t>
            </w:r>
          </w:p>
          <w:p w14:paraId="2347B281" w14:textId="77777777" w:rsidR="001E73E7" w:rsidRPr="001E73E7" w:rsidRDefault="001E73E7" w:rsidP="001E73E7">
            <w:pPr>
              <w:rPr>
                <w:rFonts w:cstheme="minorHAnsi"/>
                <w:sz w:val="20"/>
                <w:szCs w:val="20"/>
              </w:rPr>
            </w:pPr>
            <w:r w:rsidRPr="001E73E7">
              <w:rPr>
                <w:rFonts w:cstheme="minorHAnsi"/>
                <w:sz w:val="20"/>
                <w:szCs w:val="20"/>
              </w:rPr>
              <w:t>Students have by now gained a solid understanding of the various influences on human behaviour and seen psychology in action in research methods. Students get to explore a more in-depth investigation of the working of the brain and how this impacts behaviour.</w:t>
            </w:r>
          </w:p>
          <w:p w14:paraId="249BEE2A" w14:textId="013301BC" w:rsidR="00A62654" w:rsidRDefault="001E73E7" w:rsidP="00466303">
            <w:pPr>
              <w:rPr>
                <w:rFonts w:cstheme="minorHAnsi"/>
                <w:b/>
                <w:sz w:val="20"/>
                <w:szCs w:val="20"/>
              </w:rPr>
            </w:pPr>
            <w:r w:rsidRPr="001E73E7">
              <w:rPr>
                <w:rFonts w:cstheme="minorHAnsi"/>
                <w:b/>
                <w:sz w:val="20"/>
                <w:szCs w:val="20"/>
              </w:rPr>
              <w:t>Why do we teach this now?</w:t>
            </w:r>
          </w:p>
          <w:p w14:paraId="1CD63E20" w14:textId="2D1EACF4" w:rsidR="00466303" w:rsidRPr="00466303" w:rsidRDefault="00466303" w:rsidP="00466303">
            <w:pPr>
              <w:rPr>
                <w:rFonts w:cstheme="minorHAnsi"/>
                <w:bCs/>
                <w:sz w:val="20"/>
                <w:szCs w:val="20"/>
              </w:rPr>
            </w:pPr>
            <w:r>
              <w:rPr>
                <w:rFonts w:cstheme="minorHAnsi"/>
                <w:bCs/>
                <w:sz w:val="20"/>
                <w:szCs w:val="20"/>
              </w:rPr>
              <w:t>Biopsychology</w:t>
            </w:r>
            <w:r w:rsidR="00A17DB7">
              <w:rPr>
                <w:rFonts w:cstheme="minorHAnsi"/>
                <w:bCs/>
                <w:sz w:val="20"/>
                <w:szCs w:val="20"/>
              </w:rPr>
              <w:t>,</w:t>
            </w:r>
            <w:r>
              <w:rPr>
                <w:rFonts w:cstheme="minorHAnsi"/>
                <w:bCs/>
                <w:sz w:val="20"/>
                <w:szCs w:val="20"/>
              </w:rPr>
              <w:t xml:space="preserve"> as a topic</w:t>
            </w:r>
            <w:r w:rsidR="00A17DB7">
              <w:rPr>
                <w:rFonts w:cstheme="minorHAnsi"/>
                <w:bCs/>
                <w:sz w:val="20"/>
                <w:szCs w:val="20"/>
              </w:rPr>
              <w:t>,</w:t>
            </w:r>
            <w:r>
              <w:rPr>
                <w:rFonts w:cstheme="minorHAnsi"/>
                <w:bCs/>
                <w:sz w:val="20"/>
                <w:szCs w:val="20"/>
              </w:rPr>
              <w:t xml:space="preserve"> fits nicely after Approaches and it is getting to grips with the more scientific aspect of Psychology, this </w:t>
            </w:r>
            <w:r w:rsidR="00121001">
              <w:rPr>
                <w:rFonts w:cstheme="minorHAnsi"/>
                <w:bCs/>
                <w:sz w:val="20"/>
                <w:szCs w:val="20"/>
              </w:rPr>
              <w:t>r</w:t>
            </w:r>
            <w:r>
              <w:rPr>
                <w:rFonts w:cstheme="minorHAnsi"/>
                <w:bCs/>
                <w:sz w:val="20"/>
                <w:szCs w:val="20"/>
              </w:rPr>
              <w:t xml:space="preserve">uns nicely along with approximately the time where teacher 1 is teaching memory. </w:t>
            </w:r>
            <w:r w:rsidR="00121001">
              <w:rPr>
                <w:rFonts w:cstheme="minorHAnsi"/>
                <w:bCs/>
                <w:sz w:val="20"/>
                <w:szCs w:val="20"/>
              </w:rPr>
              <w:t xml:space="preserve">It also makes sense to teach biopsychology after the </w:t>
            </w:r>
            <w:r w:rsidR="00A17DB7">
              <w:rPr>
                <w:rFonts w:cstheme="minorHAnsi"/>
                <w:bCs/>
                <w:sz w:val="20"/>
                <w:szCs w:val="20"/>
              </w:rPr>
              <w:t xml:space="preserve">Biological approach has been taught. </w:t>
            </w:r>
          </w:p>
          <w:p w14:paraId="5A7A57A6"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The divisions of the nervous system: central and peripheral (somatic and autonomic).</w:t>
            </w:r>
          </w:p>
          <w:p w14:paraId="2281572B"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The structure and function of sensory, relay and motor neurons. The process of synaptic transmission, including reference to neurotransmitters, excitation and inhibition.</w:t>
            </w:r>
          </w:p>
          <w:p w14:paraId="56F9DA9F"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The function of the endocrine system: glands and hormones.</w:t>
            </w:r>
          </w:p>
          <w:p w14:paraId="4A44E2F9"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The fight or flight response including the role of adrenaline.</w:t>
            </w:r>
          </w:p>
          <w:p w14:paraId="4FC442CC"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Localisation of function in the brain and hemispheric lateralisation: motor, somatosensory, visual, auditory and language centres; Broca’s and Wernicke’s areas, split brain research. Plasticity and functional recovery of the brain after trauma.</w:t>
            </w:r>
          </w:p>
          <w:p w14:paraId="37436BDE" w14:textId="77777777" w:rsidR="00A62654" w:rsidRPr="00A62654" w:rsidRDefault="00A62654" w:rsidP="00A62654">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Ways of studying the brain: scanning techniques, including functional magnetic resonance imaging (fMRI); electroencephalogram (EEGs) and event-related potentials (ERPs); post-mortem examinations.</w:t>
            </w:r>
          </w:p>
          <w:p w14:paraId="44AD0636" w14:textId="77777777" w:rsidR="001A3057" w:rsidRDefault="00A62654" w:rsidP="001A3057">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A62654">
              <w:rPr>
                <w:rFonts w:eastAsia="Times New Roman" w:cstheme="minorHAnsi"/>
                <w:color w:val="4B4B4B"/>
                <w:sz w:val="20"/>
                <w:szCs w:val="20"/>
                <w:lang w:val="en-GB" w:eastAsia="en-GB"/>
              </w:rPr>
              <w:t>Biological rhythms: circadian, infradian and ultradian and the difference between these rhythms. The effect of endogenous pacemakers and exogenous zeitgebers on the sleep/wake cycle.</w:t>
            </w:r>
          </w:p>
          <w:p w14:paraId="57FFCC3E" w14:textId="77777777" w:rsidR="00440AA1" w:rsidRDefault="00440AA1" w:rsidP="00440AA1">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6051FEE8" w:rsidR="00440AA1" w:rsidRPr="00745D3D" w:rsidRDefault="00440AA1" w:rsidP="00440AA1">
            <w:pPr>
              <w:shd w:val="clear" w:color="auto" w:fill="FFFFFF"/>
              <w:spacing w:before="100" w:beforeAutospacing="1" w:after="100" w:afterAutospacing="1"/>
              <w:rPr>
                <w:rFonts w:eastAsia="Times New Roman" w:cstheme="minorHAnsi"/>
                <w:color w:val="4B4B4B"/>
                <w:sz w:val="20"/>
                <w:szCs w:val="20"/>
                <w:lang w:val="en-GB" w:eastAsia="en-GB"/>
              </w:rPr>
            </w:pPr>
          </w:p>
        </w:tc>
      </w:tr>
      <w:tr w:rsidR="001A3057" w:rsidRPr="00D83AA3" w14:paraId="27CAE940" w14:textId="77777777" w:rsidTr="151B0FF3">
        <w:trPr>
          <w:trHeight w:val="4525"/>
        </w:trPr>
        <w:tc>
          <w:tcPr>
            <w:tcW w:w="2100" w:type="dxa"/>
            <w:shd w:val="clear" w:color="auto" w:fill="BFBFBF" w:themeFill="background1" w:themeFillShade="BF"/>
            <w:vAlign w:val="center"/>
          </w:tcPr>
          <w:p w14:paraId="54C6F2B5" w14:textId="61F11C2E"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E35CA9">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151B0FF3">
        <w:trPr>
          <w:trHeight w:val="334"/>
        </w:trPr>
        <w:tc>
          <w:tcPr>
            <w:tcW w:w="2100" w:type="dxa"/>
            <w:shd w:val="clear" w:color="auto" w:fill="BFBFBF" w:themeFill="background1" w:themeFillShade="BF"/>
            <w:vAlign w:val="center"/>
          </w:tcPr>
          <w:p w14:paraId="22BBF83D" w14:textId="611FC974" w:rsidR="00665355" w:rsidRPr="00D83AA3" w:rsidRDefault="00C57B7C"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109137D3"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SMSC:</w:t>
            </w:r>
            <w:r w:rsidR="00875E53">
              <w:rPr>
                <w:rFonts w:ascii="Twinkl" w:hAnsi="Twinkl"/>
                <w:b/>
                <w:sz w:val="20"/>
                <w:szCs w:val="20"/>
              </w:rPr>
              <w:t xml:space="preserve"> </w:t>
            </w:r>
            <w:r w:rsidR="00875E53" w:rsidRPr="00875E53">
              <w:rPr>
                <w:rFonts w:ascii="Twinkl" w:hAnsi="Twinkl"/>
                <w:bCs/>
                <w:sz w:val="20"/>
                <w:szCs w:val="20"/>
              </w:rPr>
              <w:t>BPS guidlines</w:t>
            </w:r>
            <w:r w:rsidRPr="00B02EC1">
              <w:rPr>
                <w:rFonts w:ascii="Twinkl" w:hAnsi="Twinkl"/>
                <w:b/>
                <w:sz w:val="20"/>
                <w:szCs w:val="20"/>
              </w:rPr>
              <w:t xml:space="preserve"> </w:t>
            </w:r>
          </w:p>
          <w:p w14:paraId="0E10CE1F" w14:textId="77777777" w:rsidR="00383148"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383148">
              <w:rPr>
                <w:rFonts w:ascii="Twinkl" w:hAnsi="Twinkl"/>
                <w:b/>
                <w:sz w:val="20"/>
                <w:szCs w:val="20"/>
              </w:rPr>
              <w:t xml:space="preserve">: </w:t>
            </w:r>
          </w:p>
          <w:tbl>
            <w:tblPr>
              <w:tblW w:w="8240" w:type="dxa"/>
              <w:tblLook w:val="04A0" w:firstRow="1" w:lastRow="0" w:firstColumn="1" w:lastColumn="0" w:noHBand="0" w:noVBand="1"/>
            </w:tblPr>
            <w:tblGrid>
              <w:gridCol w:w="8240"/>
            </w:tblGrid>
            <w:tr w:rsidR="00383148" w:rsidRPr="00830DA9" w14:paraId="2763AAA1" w14:textId="77777777" w:rsidTr="00386230">
              <w:trPr>
                <w:trHeight w:val="300"/>
              </w:trPr>
              <w:tc>
                <w:tcPr>
                  <w:tcW w:w="8240" w:type="dxa"/>
                  <w:tcBorders>
                    <w:top w:val="nil"/>
                    <w:left w:val="nil"/>
                    <w:bottom w:val="nil"/>
                    <w:right w:val="nil"/>
                  </w:tcBorders>
                  <w:shd w:val="clear" w:color="auto" w:fill="auto"/>
                  <w:noWrap/>
                  <w:vAlign w:val="bottom"/>
                  <w:hideMark/>
                </w:tcPr>
                <w:p w14:paraId="35C0254C" w14:textId="77777777" w:rsidR="00383148" w:rsidRPr="00830DA9" w:rsidRDefault="00383148" w:rsidP="00EC1E82">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1. How to talk about emotions accurately and sensitively</w:t>
                  </w:r>
                </w:p>
              </w:tc>
            </w:tr>
            <w:tr w:rsidR="00383148" w:rsidRPr="00830DA9" w14:paraId="49A953BE" w14:textId="77777777" w:rsidTr="00386230">
              <w:trPr>
                <w:trHeight w:val="300"/>
              </w:trPr>
              <w:tc>
                <w:tcPr>
                  <w:tcW w:w="8240" w:type="dxa"/>
                  <w:tcBorders>
                    <w:top w:val="nil"/>
                    <w:left w:val="nil"/>
                    <w:bottom w:val="nil"/>
                    <w:right w:val="nil"/>
                  </w:tcBorders>
                  <w:shd w:val="clear" w:color="auto" w:fill="auto"/>
                  <w:noWrap/>
                  <w:vAlign w:val="bottom"/>
                  <w:hideMark/>
                </w:tcPr>
                <w:p w14:paraId="3595AA0C" w14:textId="77777777" w:rsidR="00383148" w:rsidRPr="00830DA9" w:rsidRDefault="00383148" w:rsidP="00EC1E82">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2. That happiness is linked to being connected with others</w:t>
                  </w:r>
                </w:p>
              </w:tc>
            </w:tr>
            <w:tr w:rsidR="00383148" w:rsidRPr="00830DA9" w14:paraId="61BB17C4" w14:textId="77777777" w:rsidTr="00386230">
              <w:trPr>
                <w:trHeight w:val="300"/>
              </w:trPr>
              <w:tc>
                <w:tcPr>
                  <w:tcW w:w="8240" w:type="dxa"/>
                  <w:tcBorders>
                    <w:top w:val="nil"/>
                    <w:left w:val="nil"/>
                    <w:bottom w:val="nil"/>
                    <w:right w:val="nil"/>
                  </w:tcBorders>
                  <w:shd w:val="clear" w:color="auto" w:fill="auto"/>
                  <w:noWrap/>
                  <w:vAlign w:val="bottom"/>
                  <w:hideMark/>
                </w:tcPr>
                <w:p w14:paraId="7FFE8180" w14:textId="77777777" w:rsidR="00383148" w:rsidRPr="00830DA9" w:rsidRDefault="00383148" w:rsidP="00EC1E82">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3. How to recognise the early signs of mental wellbeing concerns</w:t>
                  </w:r>
                </w:p>
              </w:tc>
            </w:tr>
            <w:tr w:rsidR="00383148" w:rsidRPr="00830DA9" w14:paraId="42E93999" w14:textId="77777777" w:rsidTr="00386230">
              <w:trPr>
                <w:trHeight w:val="300"/>
              </w:trPr>
              <w:tc>
                <w:tcPr>
                  <w:tcW w:w="8240" w:type="dxa"/>
                  <w:tcBorders>
                    <w:top w:val="nil"/>
                    <w:left w:val="nil"/>
                    <w:bottom w:val="nil"/>
                    <w:right w:val="nil"/>
                  </w:tcBorders>
                  <w:shd w:val="clear" w:color="auto" w:fill="auto"/>
                  <w:noWrap/>
                  <w:vAlign w:val="bottom"/>
                  <w:hideMark/>
                </w:tcPr>
                <w:p w14:paraId="618B953D" w14:textId="77777777" w:rsidR="00383148" w:rsidRPr="00830DA9" w:rsidRDefault="00383148" w:rsidP="00EC1E82">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4. Common types of mental ill-health</w:t>
                  </w:r>
                </w:p>
              </w:tc>
            </w:tr>
          </w:tbl>
          <w:p w14:paraId="007FCAB6" w14:textId="679EB739" w:rsidR="000D314E" w:rsidRPr="006B63B0" w:rsidRDefault="00874180" w:rsidP="000D314E">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0D314E" w:rsidRPr="006B63B0">
              <w:rPr>
                <w:b/>
                <w:sz w:val="20"/>
                <w:szCs w:val="20"/>
              </w:rPr>
              <w:t xml:space="preserve"> Individual liberty</w:t>
            </w:r>
            <w:r w:rsidR="000D314E" w:rsidRPr="006B63B0">
              <w:rPr>
                <w:sz w:val="20"/>
                <w:szCs w:val="20"/>
              </w:rPr>
              <w:t xml:space="preserve"> – </w:t>
            </w:r>
            <w:r w:rsidR="000D314E">
              <w:rPr>
                <w:sz w:val="20"/>
                <w:szCs w:val="20"/>
              </w:rPr>
              <w:t xml:space="preserve">through understanding that people are products of their neural networks. </w:t>
            </w:r>
          </w:p>
          <w:p w14:paraId="17018E3D" w14:textId="58985917" w:rsidR="00A457A1" w:rsidRPr="00B02EC1" w:rsidRDefault="000D314E" w:rsidP="000D314E">
            <w:pPr>
              <w:autoSpaceDE w:val="0"/>
              <w:autoSpaceDN w:val="0"/>
              <w:adjustRightInd w:val="0"/>
              <w:rPr>
                <w:rFonts w:ascii="Twinkl" w:hAnsi="Twinkl" w:cstheme="minorHAnsi"/>
                <w:sz w:val="20"/>
                <w:szCs w:val="20"/>
              </w:rPr>
            </w:pPr>
            <w:r w:rsidRPr="006B63B0">
              <w:rPr>
                <w:b/>
                <w:sz w:val="20"/>
                <w:szCs w:val="20"/>
              </w:rPr>
              <w:t>Rule of law</w:t>
            </w:r>
            <w:r w:rsidRPr="006B63B0">
              <w:rPr>
                <w:sz w:val="20"/>
                <w:szCs w:val="20"/>
              </w:rPr>
              <w:t xml:space="preserve"> </w:t>
            </w:r>
            <w:r>
              <w:rPr>
                <w:sz w:val="20"/>
                <w:szCs w:val="20"/>
              </w:rPr>
              <w:t>–</w:t>
            </w:r>
            <w:r>
              <w:t xml:space="preserve"> </w:t>
            </w:r>
            <w:r>
              <w:rPr>
                <w:sz w:val="20"/>
                <w:szCs w:val="20"/>
              </w:rPr>
              <w:t>through understanding that psychologists can be barred from the BPS for breaking the ethical guidelines.</w:t>
            </w:r>
          </w:p>
          <w:p w14:paraId="2BB5330D"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083CA8">
              <w:rPr>
                <w:rFonts w:ascii="Twinkl" w:hAnsi="Twinkl" w:cs="Arial"/>
                <w:b/>
                <w:sz w:val="20"/>
                <w:szCs w:val="20"/>
              </w:rPr>
              <w:t xml:space="preserve"> </w:t>
            </w:r>
            <w:r w:rsidR="00083CA8">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3CB49BE1" w:rsidR="005C5D2F" w:rsidRPr="005C5D2F" w:rsidRDefault="005C5D2F" w:rsidP="00A457A1">
            <w:pPr>
              <w:autoSpaceDE w:val="0"/>
              <w:autoSpaceDN w:val="0"/>
              <w:adjustRightInd w:val="0"/>
              <w:rPr>
                <w:rFonts w:ascii="Twinkl" w:hAnsi="Twinkl" w:cs="Arial"/>
                <w:bCs/>
                <w:sz w:val="20"/>
                <w:szCs w:val="20"/>
              </w:rPr>
            </w:pPr>
            <w:r>
              <w:rPr>
                <w:rFonts w:ascii="Twinkl" w:eastAsia="Times New Roman" w:hAnsi="Twinkl" w:cstheme="minorHAnsi"/>
                <w:b/>
                <w:color w:val="191919"/>
                <w:sz w:val="20"/>
                <w:szCs w:val="20"/>
                <w:lang w:eastAsia="en-GB"/>
              </w:rPr>
              <w:t xml:space="preserve">Relationships: </w:t>
            </w:r>
            <w:r>
              <w:rPr>
                <w:rFonts w:ascii="Twinkl" w:eastAsia="Times New Roman" w:hAnsi="Twinkl" w:cstheme="minorHAnsi"/>
                <w:bCs/>
                <w:color w:val="191919"/>
                <w:sz w:val="20"/>
                <w:szCs w:val="20"/>
                <w:lang w:eastAsia="en-GB"/>
              </w:rPr>
              <w:t xml:space="preserve">the functions of hormones and how they can affect our behavior and </w:t>
            </w:r>
            <w:r w:rsidR="00AE65A8">
              <w:rPr>
                <w:rFonts w:ascii="Twinkl" w:eastAsia="Times New Roman" w:hAnsi="Twinkl" w:cstheme="minorHAnsi"/>
                <w:bCs/>
                <w:color w:val="191919"/>
                <w:sz w:val="20"/>
                <w:szCs w:val="20"/>
                <w:lang w:eastAsia="en-GB"/>
              </w:rPr>
              <w:t>relationships</w:t>
            </w:r>
            <w:r>
              <w:rPr>
                <w:rFonts w:ascii="Twinkl" w:eastAsia="Times New Roman" w:hAnsi="Twinkl" w:cstheme="minorHAnsi"/>
                <w:bCs/>
                <w:color w:val="191919"/>
                <w:sz w:val="20"/>
                <w:szCs w:val="20"/>
                <w:lang w:eastAsia="en-GB"/>
              </w:rPr>
              <w:t xml:space="preserve">. The role of adrenaline in affecting behaviour.  </w:t>
            </w:r>
          </w:p>
        </w:tc>
      </w:tr>
      <w:tr w:rsidR="00AC420C" w:rsidRPr="00D83AA3" w14:paraId="350CBE8D" w14:textId="77777777" w:rsidTr="151B0FF3">
        <w:trPr>
          <w:trHeight w:val="334"/>
        </w:trPr>
        <w:tc>
          <w:tcPr>
            <w:tcW w:w="2100" w:type="dxa"/>
            <w:shd w:val="clear" w:color="auto" w:fill="BFBFBF" w:themeFill="background1" w:themeFillShade="BF"/>
            <w:vAlign w:val="center"/>
          </w:tcPr>
          <w:p w14:paraId="2041DA0D" w14:textId="777ABF38" w:rsidR="00AC420C" w:rsidRDefault="00AC420C" w:rsidP="00BA45DC">
            <w:pPr>
              <w:jc w:val="center"/>
              <w:rPr>
                <w:rFonts w:ascii="Twinkl" w:hAnsi="Twinkl"/>
                <w:b/>
              </w:rPr>
            </w:pPr>
            <w:r>
              <w:rPr>
                <w:rFonts w:ascii="Twinkl" w:hAnsi="Twinkl"/>
                <w:b/>
              </w:rPr>
              <w:t xml:space="preserve">Numeracy </w:t>
            </w:r>
          </w:p>
        </w:tc>
        <w:tc>
          <w:tcPr>
            <w:tcW w:w="8952" w:type="dxa"/>
            <w:vAlign w:val="center"/>
          </w:tcPr>
          <w:p w14:paraId="1956E144" w14:textId="5002DC58" w:rsidR="00AC420C" w:rsidRPr="00B02EC1" w:rsidRDefault="0047167A" w:rsidP="00A457A1">
            <w:pPr>
              <w:autoSpaceDE w:val="0"/>
              <w:autoSpaceDN w:val="0"/>
              <w:adjustRightInd w:val="0"/>
              <w:rPr>
                <w:rFonts w:ascii="Twinkl" w:hAnsi="Twinkl"/>
                <w:b/>
                <w:sz w:val="20"/>
                <w:szCs w:val="20"/>
              </w:rPr>
            </w:pPr>
            <w:r w:rsidRPr="0031217E">
              <w:rPr>
                <w:rFonts w:ascii="Twinkl" w:hAnsi="Twinkl" w:cs="Arial"/>
                <w:bCs/>
                <w:sz w:val="20"/>
                <w:szCs w:val="20"/>
              </w:rPr>
              <w:t>Numeracy is embedded throughout the course and across all papers and can appear in any of the topic questions.</w:t>
            </w:r>
            <w:r>
              <w:rPr>
                <w:rFonts w:ascii="Twinkl" w:hAnsi="Twinkl" w:cs="Arial"/>
                <w:bCs/>
                <w:sz w:val="20"/>
                <w:szCs w:val="20"/>
              </w:rPr>
              <w:t xml:space="preserve"> For example</w:t>
            </w:r>
            <w:r w:rsidR="00B83E61">
              <w:rPr>
                <w:rFonts w:ascii="Twinkl" w:hAnsi="Twinkl" w:cs="Arial"/>
                <w:bCs/>
                <w:sz w:val="20"/>
                <w:szCs w:val="20"/>
              </w:rPr>
              <w:t>,</w:t>
            </w:r>
            <w:r>
              <w:rPr>
                <w:rFonts w:ascii="Twinkl" w:hAnsi="Twinkl" w:cs="Arial"/>
                <w:bCs/>
                <w:sz w:val="20"/>
                <w:szCs w:val="20"/>
              </w:rPr>
              <w:t xml:space="preserve"> statistical analysis of </w:t>
            </w:r>
            <w:r w:rsidR="004F0642">
              <w:rPr>
                <w:rFonts w:ascii="Twinkl" w:hAnsi="Twinkl" w:cs="Arial"/>
                <w:bCs/>
                <w:sz w:val="20"/>
                <w:szCs w:val="20"/>
              </w:rPr>
              <w:t xml:space="preserve">concordance studies. </w:t>
            </w:r>
          </w:p>
        </w:tc>
      </w:tr>
      <w:tr w:rsidR="00AC420C" w:rsidRPr="00D83AA3" w14:paraId="584567EA" w14:textId="77777777" w:rsidTr="151B0FF3">
        <w:trPr>
          <w:trHeight w:val="334"/>
        </w:trPr>
        <w:tc>
          <w:tcPr>
            <w:tcW w:w="2100" w:type="dxa"/>
            <w:shd w:val="clear" w:color="auto" w:fill="BFBFBF" w:themeFill="background1" w:themeFillShade="BF"/>
            <w:vAlign w:val="center"/>
          </w:tcPr>
          <w:p w14:paraId="4B1D20FC" w14:textId="56E51FFB" w:rsidR="00AC420C" w:rsidRDefault="00AC420C" w:rsidP="00BA45DC">
            <w:pPr>
              <w:jc w:val="center"/>
              <w:rPr>
                <w:rFonts w:ascii="Twinkl" w:hAnsi="Twinkl"/>
                <w:b/>
              </w:rPr>
            </w:pPr>
            <w:r>
              <w:rPr>
                <w:rFonts w:ascii="Twinkl" w:hAnsi="Twinkl"/>
                <w:b/>
              </w:rPr>
              <w:t xml:space="preserve">Literacy </w:t>
            </w:r>
          </w:p>
        </w:tc>
        <w:tc>
          <w:tcPr>
            <w:tcW w:w="8952" w:type="dxa"/>
            <w:vAlign w:val="center"/>
          </w:tcPr>
          <w:p w14:paraId="3D32964C" w14:textId="4E7E7D25" w:rsidR="00C84F89" w:rsidRPr="004774FC" w:rsidRDefault="003B5AE2" w:rsidP="00C84F89">
            <w:pPr>
              <w:rPr>
                <w:sz w:val="20"/>
                <w:szCs w:val="20"/>
              </w:rPr>
            </w:pPr>
            <w:r>
              <w:rPr>
                <w:rFonts w:ascii="Twinkl" w:hAnsi="Twinkl"/>
                <w:b/>
                <w:sz w:val="20"/>
                <w:szCs w:val="20"/>
              </w:rPr>
              <w:t>Vocabulary Tier 2:</w:t>
            </w:r>
            <w:r w:rsidR="00C84F89">
              <w:rPr>
                <w:sz w:val="20"/>
                <w:szCs w:val="20"/>
              </w:rPr>
              <w:t xml:space="preserve"> </w:t>
            </w:r>
            <w:r w:rsidR="00C84F89" w:rsidRPr="004774FC">
              <w:rPr>
                <w:sz w:val="20"/>
                <w:szCs w:val="20"/>
              </w:rPr>
              <w:t>glands</w:t>
            </w:r>
            <w:r w:rsidR="00E9737E">
              <w:rPr>
                <w:sz w:val="20"/>
                <w:szCs w:val="20"/>
              </w:rPr>
              <w:t xml:space="preserve">, </w:t>
            </w:r>
            <w:r w:rsidR="00C84F89" w:rsidRPr="004774FC">
              <w:rPr>
                <w:sz w:val="20"/>
                <w:szCs w:val="20"/>
              </w:rPr>
              <w:t>hormones</w:t>
            </w:r>
            <w:r w:rsidR="00E9737E">
              <w:rPr>
                <w:sz w:val="20"/>
                <w:szCs w:val="20"/>
              </w:rPr>
              <w:t>, a</w:t>
            </w:r>
            <w:r w:rsidR="00C84F89" w:rsidRPr="004774FC">
              <w:rPr>
                <w:sz w:val="20"/>
                <w:szCs w:val="20"/>
              </w:rPr>
              <w:t>drenaline</w:t>
            </w:r>
            <w:r w:rsidR="002C570F">
              <w:rPr>
                <w:sz w:val="20"/>
                <w:szCs w:val="20"/>
              </w:rPr>
              <w:t xml:space="preserve">, </w:t>
            </w:r>
            <w:r w:rsidR="002C570F" w:rsidRPr="00207990">
              <w:rPr>
                <w:rFonts w:cstheme="minorHAnsi"/>
                <w:bCs/>
                <w:sz w:val="20"/>
                <w:szCs w:val="20"/>
              </w:rPr>
              <w:t>post-mortem examination</w:t>
            </w:r>
            <w:r w:rsidR="002C570F">
              <w:rPr>
                <w:rFonts w:cstheme="minorHAnsi"/>
                <w:bCs/>
                <w:sz w:val="20"/>
                <w:szCs w:val="20"/>
              </w:rPr>
              <w:t>, pacemaker, zeitgeber</w:t>
            </w:r>
          </w:p>
          <w:p w14:paraId="5C071A1B" w14:textId="02EC9895" w:rsidR="000525DF" w:rsidRPr="00B02EC1" w:rsidRDefault="003B5AE2" w:rsidP="000525DF">
            <w:pPr>
              <w:autoSpaceDE w:val="0"/>
              <w:autoSpaceDN w:val="0"/>
              <w:adjustRightInd w:val="0"/>
              <w:rPr>
                <w:rFonts w:ascii="Twinkl" w:hAnsi="Twinkl" w:cs="Arial"/>
                <w:b/>
                <w:sz w:val="20"/>
                <w:szCs w:val="20"/>
              </w:rPr>
            </w:pPr>
            <w:r>
              <w:rPr>
                <w:rFonts w:ascii="Twinkl" w:hAnsi="Twinkl"/>
                <w:b/>
                <w:sz w:val="20"/>
                <w:szCs w:val="20"/>
              </w:rPr>
              <w:t>Vocabulary Tier 3:</w:t>
            </w:r>
            <w:r w:rsidR="000525DF">
              <w:rPr>
                <w:rFonts w:ascii="Twinkl" w:hAnsi="Twinkl"/>
                <w:b/>
                <w:sz w:val="20"/>
                <w:szCs w:val="20"/>
              </w:rPr>
              <w:t xml:space="preserve"> </w:t>
            </w:r>
            <w:r w:rsidR="000525DF" w:rsidRPr="00207990">
              <w:rPr>
                <w:rFonts w:cstheme="minorHAnsi"/>
                <w:bCs/>
                <w:sz w:val="20"/>
                <w:szCs w:val="20"/>
              </w:rPr>
              <w:t xml:space="preserve"> Nervous system</w:t>
            </w:r>
            <w:r w:rsidR="002215E5">
              <w:rPr>
                <w:rFonts w:cstheme="minorHAnsi"/>
                <w:bCs/>
                <w:sz w:val="20"/>
                <w:szCs w:val="20"/>
              </w:rPr>
              <w:t xml:space="preserve">: </w:t>
            </w:r>
            <w:r w:rsidR="002215E5">
              <w:rPr>
                <w:sz w:val="20"/>
                <w:szCs w:val="20"/>
              </w:rPr>
              <w:t xml:space="preserve"> C</w:t>
            </w:r>
            <w:r w:rsidR="002215E5" w:rsidRPr="004774FC">
              <w:rPr>
                <w:sz w:val="20"/>
                <w:szCs w:val="20"/>
              </w:rPr>
              <w:t>entral &amp; peripheral (somatic and autonomic)</w:t>
            </w:r>
            <w:r w:rsidR="000525DF" w:rsidRPr="00207990">
              <w:rPr>
                <w:rFonts w:cstheme="minorHAnsi"/>
                <w:bCs/>
                <w:sz w:val="20"/>
                <w:szCs w:val="20"/>
              </w:rPr>
              <w:t>,</w:t>
            </w:r>
            <w:r w:rsidR="00E9737E">
              <w:rPr>
                <w:rFonts w:cstheme="minorHAnsi"/>
                <w:bCs/>
                <w:sz w:val="20"/>
                <w:szCs w:val="20"/>
              </w:rPr>
              <w:t xml:space="preserve"> </w:t>
            </w:r>
            <w:r w:rsidR="00E9737E" w:rsidRPr="004774FC">
              <w:rPr>
                <w:sz w:val="20"/>
                <w:szCs w:val="20"/>
              </w:rPr>
              <w:t xml:space="preserve"> Sensory, relay and motor neurons</w:t>
            </w:r>
            <w:r w:rsidR="00E9737E">
              <w:rPr>
                <w:sz w:val="20"/>
                <w:szCs w:val="20"/>
              </w:rPr>
              <w:t xml:space="preserve">, </w:t>
            </w:r>
            <w:r w:rsidR="000525DF" w:rsidRPr="00207990">
              <w:rPr>
                <w:rFonts w:cstheme="minorHAnsi"/>
                <w:bCs/>
                <w:sz w:val="20"/>
                <w:szCs w:val="20"/>
              </w:rPr>
              <w:t xml:space="preserve"> endocrine system, hormones &amp; glands, neurons, synapses, localisation theory, holistic theory, plasticity, functional recovery, split-brain patients, fMRI, ERP, EEG,  circadian rhythms, ultradian rhythms, infradian rhythms, endogenous pacemakers, exogenous zeitgebers</w:t>
            </w:r>
            <w:r w:rsidR="00E9737E">
              <w:rPr>
                <w:rFonts w:cstheme="minorHAnsi"/>
                <w:bCs/>
                <w:sz w:val="20"/>
                <w:szCs w:val="20"/>
              </w:rPr>
              <w:t xml:space="preserve">, </w:t>
            </w:r>
            <w:r w:rsidR="00E9737E" w:rsidRPr="004774FC">
              <w:rPr>
                <w:sz w:val="20"/>
                <w:szCs w:val="20"/>
              </w:rPr>
              <w:t xml:space="preserve"> Synaptic transmission, excitation &amp; inhibition</w:t>
            </w:r>
          </w:p>
          <w:p w14:paraId="768E7518" w14:textId="77777777" w:rsidR="007D3B0F" w:rsidRPr="00D8395D" w:rsidRDefault="007D3B0F" w:rsidP="007D3B0F">
            <w:pPr>
              <w:autoSpaceDE w:val="0"/>
              <w:autoSpaceDN w:val="0"/>
              <w:adjustRightInd w:val="0"/>
              <w:rPr>
                <w:rFonts w:ascii="Twinkl" w:hAnsi="Twinkl"/>
                <w:bCs/>
                <w:sz w:val="20"/>
                <w:szCs w:val="20"/>
              </w:rPr>
            </w:pPr>
            <w:r>
              <w:rPr>
                <w:rFonts w:ascii="Twinkl" w:hAnsi="Twinkl"/>
                <w:b/>
                <w:sz w:val="20"/>
                <w:szCs w:val="20"/>
              </w:rPr>
              <w:t xml:space="preserve">Reading: </w:t>
            </w:r>
            <w:r w:rsidRPr="00BB5EE4">
              <w:rPr>
                <w:rFonts w:ascii="Twinkl" w:hAnsi="Twinkl"/>
                <w:bCs/>
                <w:sz w:val="20"/>
                <w:szCs w:val="20"/>
              </w:rPr>
              <w:t>reciprocal reading strategies used</w:t>
            </w:r>
            <w:r>
              <w:rPr>
                <w:rFonts w:ascii="Twinkl" w:hAnsi="Twinkl"/>
                <w:bCs/>
                <w:sz w:val="20"/>
                <w:szCs w:val="20"/>
              </w:rPr>
              <w:t>,</w:t>
            </w:r>
            <w:r w:rsidRPr="00BB5EE4">
              <w:rPr>
                <w:rFonts w:ascii="Twinkl" w:hAnsi="Twinkl"/>
                <w:bCs/>
                <w:sz w:val="20"/>
                <w:szCs w:val="20"/>
              </w:rPr>
              <w:t xml:space="preserve"> eg predictions – many hooks/ starters include asking what do we already know about this topic. Opportunity to summarize eg write down the main points of an argument/ theory. Questioners – does the text raise any questions, group work as an opportunity to discuss. Connectors – can the text be linked to any theories (either for or against). Opportunity to clarify – discussion of any words or ideas</w:t>
            </w:r>
            <w:r>
              <w:rPr>
                <w:rFonts w:ascii="Twinkl" w:hAnsi="Twinkl"/>
                <w:bCs/>
                <w:sz w:val="20"/>
                <w:szCs w:val="20"/>
              </w:rPr>
              <w:t xml:space="preserve"> </w:t>
            </w:r>
            <w:r w:rsidRPr="00BB5EE4">
              <w:rPr>
                <w:rFonts w:ascii="Twinkl" w:hAnsi="Twinkl"/>
                <w:bCs/>
                <w:sz w:val="20"/>
                <w:szCs w:val="20"/>
              </w:rPr>
              <w:t xml:space="preserve"> that the student didn’t understand.</w:t>
            </w:r>
            <w:r>
              <w:rPr>
                <w:rFonts w:ascii="Twinkl" w:hAnsi="Twinkl"/>
                <w:b/>
                <w:sz w:val="20"/>
                <w:szCs w:val="20"/>
              </w:rPr>
              <w:t xml:space="preserve"> </w:t>
            </w:r>
          </w:p>
          <w:p w14:paraId="522F00D2" w14:textId="77777777" w:rsidR="007D3B0F" w:rsidRPr="00BF7A27" w:rsidRDefault="007D3B0F" w:rsidP="007D3B0F">
            <w:pPr>
              <w:autoSpaceDE w:val="0"/>
              <w:autoSpaceDN w:val="0"/>
              <w:adjustRightInd w:val="0"/>
              <w:rPr>
                <w:rFonts w:ascii="Twinkl" w:hAnsi="Twinkl"/>
                <w:bCs/>
                <w:sz w:val="20"/>
                <w:szCs w:val="20"/>
              </w:rPr>
            </w:pPr>
            <w:r>
              <w:rPr>
                <w:rFonts w:ascii="Twinkl" w:hAnsi="Twinkl"/>
                <w:b/>
                <w:sz w:val="20"/>
                <w:szCs w:val="20"/>
              </w:rPr>
              <w:lastRenderedPageBreak/>
              <w:t xml:space="preserve">Writing: </w:t>
            </w:r>
            <w:r w:rsidRPr="00BF7A27">
              <w:rPr>
                <w:rFonts w:ascii="Twinkl" w:hAnsi="Twinkl"/>
                <w:bCs/>
                <w:sz w:val="20"/>
                <w:szCs w:val="20"/>
              </w:rPr>
              <w:t xml:space="preserve">As Psychology is all exam classes, many lessons are dedicated to essay writing skills for the 8/ 16 mark essays. Students are required to show knowledge which should link to key psychological terminology, application which should integrate fully with the stem and an critical analysis and discussion when evaluating. </w:t>
            </w:r>
          </w:p>
          <w:p w14:paraId="37872FE6" w14:textId="139FE2D8" w:rsidR="00AC420C" w:rsidRPr="00B02EC1" w:rsidRDefault="007D3B0F" w:rsidP="007D3B0F">
            <w:pPr>
              <w:autoSpaceDE w:val="0"/>
              <w:autoSpaceDN w:val="0"/>
              <w:adjustRightInd w:val="0"/>
              <w:rPr>
                <w:rFonts w:ascii="Twinkl" w:hAnsi="Twinkl"/>
                <w:b/>
                <w:sz w:val="20"/>
                <w:szCs w:val="20"/>
              </w:rPr>
            </w:pPr>
            <w:r>
              <w:rPr>
                <w:rFonts w:ascii="Twinkl" w:hAnsi="Twinkl"/>
                <w:b/>
                <w:sz w:val="20"/>
                <w:szCs w:val="20"/>
              </w:rPr>
              <w:t xml:space="preserve">Oracy: </w:t>
            </w:r>
            <w:r w:rsidRPr="00C93C7C">
              <w:rPr>
                <w:rFonts w:ascii="Twinkl" w:hAnsi="Twinkl"/>
                <w:bCs/>
                <w:sz w:val="20"/>
                <w:szCs w:val="20"/>
              </w:rPr>
              <w:t>group work in the majority of lessons, think pair share activities</w:t>
            </w:r>
            <w:r>
              <w:rPr>
                <w:rFonts w:ascii="Twinkl" w:hAnsi="Twinkl"/>
                <w:bCs/>
                <w:sz w:val="20"/>
                <w:szCs w:val="20"/>
              </w:rPr>
              <w:t xml:space="preserve"> eg a debate on</w:t>
            </w:r>
            <w:r w:rsidR="00776708">
              <w:rPr>
                <w:rFonts w:ascii="Twinkl" w:hAnsi="Twinkl"/>
                <w:bCs/>
                <w:sz w:val="20"/>
                <w:szCs w:val="20"/>
              </w:rPr>
              <w:t xml:space="preserve"> whether the brain has plasticity or not. </w:t>
            </w:r>
          </w:p>
        </w:tc>
      </w:tr>
      <w:tr w:rsidR="002D5DFE" w:rsidRPr="00D83AA3" w14:paraId="55B110B1" w14:textId="77777777" w:rsidTr="151B0FF3">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235B82DF" w14:textId="77777777" w:rsidR="00C45B84" w:rsidRPr="00653388" w:rsidRDefault="00C45B84" w:rsidP="00C45B84">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08B8592A" w14:textId="77777777" w:rsidR="00C45B84" w:rsidRPr="00653388" w:rsidRDefault="00C45B84" w:rsidP="00C45B84">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64AEDCDA"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151B0FF3">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F5D247" w14:textId="77777777" w:rsidR="008F3664" w:rsidRPr="00653388" w:rsidRDefault="008F3664" w:rsidP="008F3664">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0990DF9D" w14:textId="77777777" w:rsidR="008F3664" w:rsidRPr="00653388" w:rsidRDefault="008F3664" w:rsidP="008F3664">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15DF3A38" w14:textId="77777777" w:rsidR="008F3664" w:rsidRPr="00653388" w:rsidRDefault="008F3664" w:rsidP="008F3664">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2FC921F4" w14:textId="77777777" w:rsidR="008F3664" w:rsidRPr="00653388" w:rsidRDefault="008F3664" w:rsidP="008F3664">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52285C8A" w14:textId="77777777" w:rsidR="008F3664" w:rsidRPr="00653388" w:rsidRDefault="008F3664" w:rsidP="008F3664">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7172FE3C" w14:textId="77777777" w:rsidR="008F3664" w:rsidRPr="00653388" w:rsidRDefault="008F3664" w:rsidP="008F3664">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63903769" w14:textId="77777777" w:rsidR="008F3664" w:rsidRPr="00653388" w:rsidRDefault="008F3664" w:rsidP="008F3664">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2EAA9B7A" w14:textId="77777777" w:rsidR="008F3664" w:rsidRPr="00653388" w:rsidRDefault="008F3664" w:rsidP="008F3664">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621B531D" w:rsidR="007041FD" w:rsidRPr="00B02EC1" w:rsidRDefault="008F3664" w:rsidP="008F3664">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151B0FF3">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151B0FF3">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9370"/>
            </w:tblGrid>
            <w:tr w:rsidR="00D21131" w:rsidRPr="00D21131" w14:paraId="1FC404F5"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895A410"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Understand the divisions of the nervous system: central and peripheral (somatic and autonomic)</w:t>
                  </w:r>
                </w:p>
              </w:tc>
            </w:tr>
            <w:tr w:rsidR="00D21131" w:rsidRPr="00D21131" w14:paraId="777011EB"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DFEEA52"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Understand the structure and function of sensory, relay and motor neurons</w:t>
                  </w:r>
                </w:p>
              </w:tc>
            </w:tr>
            <w:tr w:rsidR="00D21131" w:rsidRPr="00D21131" w14:paraId="56722C1D"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216C652D"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Explain the process of synaptic transmission, including reference to neurotransmitters, excitation and inhibition</w:t>
                  </w:r>
                </w:p>
              </w:tc>
            </w:tr>
            <w:tr w:rsidR="00D21131" w:rsidRPr="00D21131" w14:paraId="7DAFF5FB"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75133A49"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Know the function of the endocrine system: glands and hormones</w:t>
                  </w:r>
                </w:p>
              </w:tc>
            </w:tr>
            <w:tr w:rsidR="00D21131" w:rsidRPr="00D21131" w14:paraId="6150D3A9"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627C9AF0"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Discuss the fight or flight response including the role of adrenaline</w:t>
                  </w:r>
                </w:p>
              </w:tc>
            </w:tr>
            <w:tr w:rsidR="00D21131" w:rsidRPr="00D21131" w14:paraId="2482AC19"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4D4D880"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Understand localisation of function in the brain and hemispheric lateralisation: motor, somatosensory, visual, auditory and language centres</w:t>
                  </w:r>
                </w:p>
              </w:tc>
            </w:tr>
            <w:tr w:rsidR="00D21131" w:rsidRPr="00D21131" w14:paraId="5D98FC33"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4110FD3"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Understand Broca’s and Wernicke’s areas</w:t>
                  </w:r>
                </w:p>
              </w:tc>
            </w:tr>
            <w:tr w:rsidR="00D21131" w:rsidRPr="00D21131" w14:paraId="7119B66B" w14:textId="77777777" w:rsidTr="00D21131">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110159B"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Discuss split brain research</w:t>
                  </w:r>
                </w:p>
              </w:tc>
            </w:tr>
            <w:tr w:rsidR="00D21131" w:rsidRPr="00D21131" w14:paraId="55C7DDED" w14:textId="77777777" w:rsidTr="00D21131">
              <w:trPr>
                <w:trHeight w:val="679"/>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02782248"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Discuss plasticity and functional recovery of the brain after trauma</w:t>
                  </w:r>
                </w:p>
              </w:tc>
            </w:tr>
            <w:tr w:rsidR="00D21131" w:rsidRPr="00D21131" w14:paraId="74E84AE3" w14:textId="77777777" w:rsidTr="00D21131">
              <w:trPr>
                <w:trHeight w:val="559"/>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6F99A8A9"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Know ways of studying the brain: scanning techniques - functional magnetic resonance imaging (fMRI)</w:t>
                  </w:r>
                </w:p>
              </w:tc>
            </w:tr>
            <w:tr w:rsidR="00D21131" w:rsidRPr="00D21131" w14:paraId="70B52F75" w14:textId="77777777" w:rsidTr="00D21131">
              <w:trPr>
                <w:trHeight w:val="55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0E8DCB19"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Know ways of studying the brain: scanning techniques - electroencephalogram (EEGs)</w:t>
                  </w:r>
                </w:p>
              </w:tc>
            </w:tr>
            <w:tr w:rsidR="00D21131" w:rsidRPr="00D21131" w14:paraId="4EAC745D" w14:textId="77777777" w:rsidTr="00D21131">
              <w:trPr>
                <w:trHeight w:val="55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71EA903D"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Know ways of studying the brain: scanning techniques - event-related potentials (ERPs)</w:t>
                  </w:r>
                </w:p>
              </w:tc>
            </w:tr>
            <w:tr w:rsidR="00D21131" w:rsidRPr="00D21131" w14:paraId="0F8A72C4" w14:textId="77777777" w:rsidTr="00D21131">
              <w:trPr>
                <w:trHeight w:val="55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8F8E588"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Discuss the use of post-mortem examinations</w:t>
                  </w:r>
                </w:p>
              </w:tc>
            </w:tr>
            <w:tr w:rsidR="00D21131" w:rsidRPr="00D21131" w14:paraId="335D09D4" w14:textId="77777777" w:rsidTr="00D21131">
              <w:trPr>
                <w:trHeight w:val="559"/>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D61934F"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lastRenderedPageBreak/>
                    <w:t>Understand biological rhythms: circadian, infradian and ultradian and the difference between these rhythms.</w:t>
                  </w:r>
                </w:p>
              </w:tc>
            </w:tr>
            <w:tr w:rsidR="00D21131" w:rsidRPr="00D21131" w14:paraId="51ED383C" w14:textId="77777777" w:rsidTr="00D21131">
              <w:trPr>
                <w:trHeight w:val="55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134ED279" w14:textId="77777777" w:rsidR="00D21131" w:rsidRPr="00D21131" w:rsidRDefault="00D21131" w:rsidP="00EC1E82">
                  <w:pPr>
                    <w:framePr w:hSpace="180" w:wrap="around" w:vAnchor="page" w:hAnchor="margin" w:y="541"/>
                    <w:rPr>
                      <w:rFonts w:ascii="Calibri" w:eastAsia="Times New Roman" w:hAnsi="Calibri" w:cs="Calibri"/>
                      <w:color w:val="000000"/>
                      <w:lang w:val="en-GB" w:eastAsia="en-GB"/>
                    </w:rPr>
                  </w:pPr>
                  <w:r w:rsidRPr="00D21131">
                    <w:rPr>
                      <w:rFonts w:ascii="Calibri" w:eastAsia="Times New Roman" w:hAnsi="Calibri" w:cs="Calibri"/>
                      <w:color w:val="000000"/>
                      <w:lang w:val="en-GB" w:eastAsia="en-GB"/>
                    </w:rPr>
                    <w:t>Understand the effect of endogenous pacemakers and exogenous zeitgebers on the sleep/wake cycle</w:t>
                  </w:r>
                </w:p>
              </w:tc>
            </w:tr>
          </w:tbl>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151B0FF3">
        <w:trPr>
          <w:trHeight w:val="1760"/>
        </w:trPr>
        <w:tc>
          <w:tcPr>
            <w:tcW w:w="2100" w:type="dxa"/>
            <w:shd w:val="clear" w:color="auto" w:fill="BFBFBF" w:themeFill="background1" w:themeFillShade="BF"/>
            <w:vAlign w:val="center"/>
          </w:tcPr>
          <w:p w14:paraId="405A1F9F" w14:textId="6792442F" w:rsidR="00BA02B9" w:rsidRPr="00D83AA3" w:rsidRDefault="66E10584" w:rsidP="5824EE93">
            <w:pPr>
              <w:jc w:val="center"/>
              <w:rPr>
                <w:rFonts w:ascii="Segoe UI" w:eastAsia="Segoe UI" w:hAnsi="Segoe UI" w:cs="Segoe UI"/>
                <w:color w:val="000000" w:themeColor="text1"/>
              </w:rPr>
            </w:pPr>
            <w:r w:rsidRPr="5824EE93">
              <w:rPr>
                <w:rFonts w:ascii="Segoe UI" w:eastAsia="Segoe UI" w:hAnsi="Segoe UI" w:cs="Segoe UI"/>
                <w:b/>
                <w:bCs/>
                <w:color w:val="000000" w:themeColor="text1"/>
              </w:rPr>
              <w:t xml:space="preserve">Learning Outcomes </w:t>
            </w:r>
          </w:p>
          <w:p w14:paraId="1E36420F" w14:textId="7034C6CB" w:rsidR="00BA02B9" w:rsidRPr="00D83AA3" w:rsidRDefault="00BA02B9" w:rsidP="5824EE93">
            <w:pPr>
              <w:jc w:val="center"/>
              <w:rPr>
                <w:rFonts w:ascii="Segoe UI" w:eastAsia="Segoe UI" w:hAnsi="Segoe UI" w:cs="Segoe UI"/>
                <w:color w:val="000000" w:themeColor="text1"/>
                <w:lang w:val="en-GB"/>
              </w:rPr>
            </w:pPr>
          </w:p>
          <w:p w14:paraId="0AE6FC19" w14:textId="75B41AC9" w:rsidR="00BA02B9" w:rsidRPr="00D83AA3" w:rsidRDefault="66E10584" w:rsidP="5824EE93">
            <w:pPr>
              <w:jc w:val="center"/>
              <w:rPr>
                <w:rFonts w:ascii="Calibri" w:eastAsia="Calibri" w:hAnsi="Calibri" w:cs="Calibri"/>
                <w:color w:val="000000" w:themeColor="text1"/>
                <w:lang w:val="en-GB"/>
              </w:rPr>
            </w:pPr>
            <w:r w:rsidRPr="5824EE93">
              <w:rPr>
                <w:rFonts w:ascii="Segoe UI" w:eastAsia="Segoe UI" w:hAnsi="Segoe UI" w:cs="Segoe UI"/>
                <w:b/>
                <w:bCs/>
                <w:color w:val="000000" w:themeColor="text1"/>
              </w:rPr>
              <w:t>(</w:t>
            </w:r>
            <w:r w:rsidR="00EC1E82">
              <w:rPr>
                <w:rFonts w:ascii="Segoe UI" w:eastAsia="Segoe UI" w:hAnsi="Segoe UI" w:cs="Segoe UI"/>
                <w:b/>
                <w:bCs/>
                <w:color w:val="000000" w:themeColor="text1"/>
              </w:rPr>
              <w:t xml:space="preserve">Core </w:t>
            </w:r>
            <w:r w:rsidRPr="5824EE93">
              <w:rPr>
                <w:rFonts w:ascii="Calibri" w:eastAsia="Calibri" w:hAnsi="Calibri" w:cs="Calibri"/>
                <w:b/>
                <w:bCs/>
                <w:color w:val="000000" w:themeColor="text1"/>
              </w:rPr>
              <w:t>knowledge)</w:t>
            </w:r>
          </w:p>
          <w:p w14:paraId="1AC9017D" w14:textId="2489C44E" w:rsidR="00BA02B9" w:rsidRPr="00D83AA3" w:rsidRDefault="00BA02B9" w:rsidP="5824EE93">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151B0FF3">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29181759" w:rsidR="0071084E" w:rsidRPr="00717267" w:rsidRDefault="00745D3D" w:rsidP="00717267">
            <w:pPr>
              <w:shd w:val="clear" w:color="auto" w:fill="FFFFFF"/>
              <w:textAlignment w:val="baseline"/>
              <w:rPr>
                <w:rFonts w:ascii="Twinkl" w:eastAsia="Times New Roman" w:hAnsi="Twinkl" w:cstheme="minorHAnsi"/>
                <w:sz w:val="20"/>
                <w:szCs w:val="20"/>
                <w:lang w:val="en-GB" w:eastAsia="en-GB"/>
              </w:rPr>
            </w:pPr>
            <w:r w:rsidRPr="00717267">
              <w:rPr>
                <w:rFonts w:ascii="Twinkl" w:eastAsia="Times New Roman" w:hAnsi="Twinkl" w:cstheme="minorHAnsi"/>
                <w:sz w:val="20"/>
                <w:szCs w:val="20"/>
                <w:lang w:val="en-GB" w:eastAsia="en-GB"/>
              </w:rPr>
              <w:t xml:space="preserve">Further discussion of the brain and </w:t>
            </w:r>
            <w:r w:rsidR="00717267" w:rsidRPr="00717267">
              <w:rPr>
                <w:rFonts w:ascii="Twinkl" w:eastAsia="Times New Roman" w:hAnsi="Twinkl" w:cstheme="minorHAnsi"/>
                <w:sz w:val="20"/>
                <w:szCs w:val="20"/>
                <w:lang w:val="en-GB" w:eastAsia="en-GB"/>
              </w:rPr>
              <w:t>its</w:t>
            </w:r>
            <w:r w:rsidRPr="00717267">
              <w:rPr>
                <w:rFonts w:ascii="Twinkl" w:eastAsia="Times New Roman" w:hAnsi="Twinkl" w:cstheme="minorHAnsi"/>
                <w:sz w:val="20"/>
                <w:szCs w:val="20"/>
                <w:lang w:val="en-GB" w:eastAsia="en-GB"/>
              </w:rPr>
              <w:t xml:space="preserve"> </w:t>
            </w:r>
            <w:r w:rsidR="00717267" w:rsidRPr="00717267">
              <w:rPr>
                <w:rFonts w:ascii="Twinkl" w:eastAsia="Times New Roman" w:hAnsi="Twinkl" w:cstheme="minorHAnsi"/>
                <w:sz w:val="20"/>
                <w:szCs w:val="20"/>
                <w:lang w:val="en-GB" w:eastAsia="en-GB"/>
              </w:rPr>
              <w:t>effects</w:t>
            </w:r>
            <w:r w:rsidRPr="00717267">
              <w:rPr>
                <w:rFonts w:ascii="Twinkl" w:eastAsia="Times New Roman" w:hAnsi="Twinkl" w:cstheme="minorHAnsi"/>
                <w:sz w:val="20"/>
                <w:szCs w:val="20"/>
                <w:lang w:val="en-GB" w:eastAsia="en-GB"/>
              </w:rPr>
              <w:t xml:space="preserve"> on behaviour in year 2 topics such as </w:t>
            </w:r>
            <w:r w:rsidR="00717267" w:rsidRPr="00717267">
              <w:rPr>
                <w:rFonts w:ascii="Twinkl" w:eastAsia="Times New Roman" w:hAnsi="Twinkl" w:cstheme="minorHAnsi"/>
                <w:sz w:val="20"/>
                <w:szCs w:val="20"/>
                <w:lang w:val="en-GB" w:eastAsia="en-GB"/>
              </w:rPr>
              <w:t>schizophrenia and forensic</w:t>
            </w:r>
            <w:r w:rsidR="00480EAD">
              <w:rPr>
                <w:rFonts w:ascii="Twinkl" w:eastAsia="Times New Roman" w:hAnsi="Twinkl" w:cstheme="minorHAnsi"/>
                <w:sz w:val="20"/>
                <w:szCs w:val="20"/>
                <w:lang w:val="en-GB" w:eastAsia="en-GB"/>
              </w:rPr>
              <w:t>. Treatments of disorders, the role of neurotransmitters; serotonin, dopamine</w:t>
            </w:r>
            <w:r w:rsidR="00A739E1">
              <w:rPr>
                <w:rFonts w:ascii="Twinkl" w:eastAsia="Times New Roman" w:hAnsi="Twinkl" w:cstheme="minorHAnsi"/>
                <w:sz w:val="20"/>
                <w:szCs w:val="20"/>
                <w:lang w:val="en-GB" w:eastAsia="en-GB"/>
              </w:rPr>
              <w:t>.</w:t>
            </w:r>
            <w:r w:rsidR="00576074">
              <w:rPr>
                <w:rFonts w:ascii="Twinkl" w:eastAsia="Times New Roman" w:hAnsi="Twinkl" w:cstheme="minorHAnsi"/>
                <w:sz w:val="20"/>
                <w:szCs w:val="20"/>
                <w:lang w:val="en-GB" w:eastAsia="en-GB"/>
              </w:rPr>
              <w:t xml:space="preserve"> Memory topic to support localisation of function. </w:t>
            </w:r>
          </w:p>
        </w:tc>
      </w:tr>
      <w:tr w:rsidR="00FD68A4" w:rsidRPr="00D83AA3" w14:paraId="3B89946A" w14:textId="77777777" w:rsidTr="151B0FF3">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151B0FF3">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A4B4" w14:textId="77777777" w:rsidR="0059018C" w:rsidRDefault="0059018C" w:rsidP="00C40517">
      <w:r>
        <w:separator/>
      </w:r>
    </w:p>
  </w:endnote>
  <w:endnote w:type="continuationSeparator" w:id="0">
    <w:p w14:paraId="0DA6851B" w14:textId="77777777" w:rsidR="0059018C" w:rsidRDefault="0059018C" w:rsidP="00C40517">
      <w:r>
        <w:continuationSeparator/>
      </w:r>
    </w:p>
  </w:endnote>
  <w:endnote w:type="continuationNotice" w:id="1">
    <w:p w14:paraId="527EAF46" w14:textId="77777777" w:rsidR="0059018C" w:rsidRDefault="00590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B08B9" w14:textId="77777777" w:rsidR="0059018C" w:rsidRDefault="0059018C" w:rsidP="00C40517">
      <w:r>
        <w:separator/>
      </w:r>
    </w:p>
  </w:footnote>
  <w:footnote w:type="continuationSeparator" w:id="0">
    <w:p w14:paraId="029895A3" w14:textId="77777777" w:rsidR="0059018C" w:rsidRDefault="0059018C" w:rsidP="00C40517">
      <w:r>
        <w:continuationSeparator/>
      </w:r>
    </w:p>
  </w:footnote>
  <w:footnote w:type="continuationNotice" w:id="1">
    <w:p w14:paraId="528E735E" w14:textId="77777777" w:rsidR="0059018C" w:rsidRDefault="005901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8857B1"/>
    <w:multiLevelType w:val="multilevel"/>
    <w:tmpl w:val="CDDE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8840899">
    <w:abstractNumId w:val="4"/>
  </w:num>
  <w:num w:numId="2" w16cid:durableId="309140606">
    <w:abstractNumId w:val="2"/>
  </w:num>
  <w:num w:numId="3" w16cid:durableId="399134930">
    <w:abstractNumId w:val="33"/>
  </w:num>
  <w:num w:numId="4" w16cid:durableId="1089697983">
    <w:abstractNumId w:val="38"/>
  </w:num>
  <w:num w:numId="5" w16cid:durableId="2006544970">
    <w:abstractNumId w:val="11"/>
  </w:num>
  <w:num w:numId="6" w16cid:durableId="697586309">
    <w:abstractNumId w:val="16"/>
  </w:num>
  <w:num w:numId="7" w16cid:durableId="2118481821">
    <w:abstractNumId w:val="32"/>
  </w:num>
  <w:num w:numId="8" w16cid:durableId="1611205353">
    <w:abstractNumId w:val="14"/>
  </w:num>
  <w:num w:numId="9" w16cid:durableId="515580649">
    <w:abstractNumId w:val="25"/>
  </w:num>
  <w:num w:numId="10" w16cid:durableId="690032038">
    <w:abstractNumId w:val="0"/>
  </w:num>
  <w:num w:numId="11" w16cid:durableId="1567762763">
    <w:abstractNumId w:val="37"/>
  </w:num>
  <w:num w:numId="12" w16cid:durableId="227424681">
    <w:abstractNumId w:val="12"/>
  </w:num>
  <w:num w:numId="13" w16cid:durableId="895433413">
    <w:abstractNumId w:val="34"/>
  </w:num>
  <w:num w:numId="14" w16cid:durableId="925577500">
    <w:abstractNumId w:val="7"/>
  </w:num>
  <w:num w:numId="15" w16cid:durableId="755520366">
    <w:abstractNumId w:val="35"/>
  </w:num>
  <w:num w:numId="16" w16cid:durableId="512691843">
    <w:abstractNumId w:val="18"/>
  </w:num>
  <w:num w:numId="17" w16cid:durableId="670714302">
    <w:abstractNumId w:val="10"/>
  </w:num>
  <w:num w:numId="18" w16cid:durableId="174731912">
    <w:abstractNumId w:val="21"/>
  </w:num>
  <w:num w:numId="19" w16cid:durableId="59450466">
    <w:abstractNumId w:val="36"/>
  </w:num>
  <w:num w:numId="20" w16cid:durableId="802693717">
    <w:abstractNumId w:val="1"/>
  </w:num>
  <w:num w:numId="21" w16cid:durableId="244345931">
    <w:abstractNumId w:val="9"/>
  </w:num>
  <w:num w:numId="22" w16cid:durableId="427043804">
    <w:abstractNumId w:val="15"/>
  </w:num>
  <w:num w:numId="23" w16cid:durableId="755128505">
    <w:abstractNumId w:val="26"/>
  </w:num>
  <w:num w:numId="24" w16cid:durableId="733627636">
    <w:abstractNumId w:val="23"/>
  </w:num>
  <w:num w:numId="25" w16cid:durableId="1225990586">
    <w:abstractNumId w:val="3"/>
  </w:num>
  <w:num w:numId="26" w16cid:durableId="1898932972">
    <w:abstractNumId w:val="30"/>
  </w:num>
  <w:num w:numId="27" w16cid:durableId="1821385266">
    <w:abstractNumId w:val="17"/>
  </w:num>
  <w:num w:numId="28" w16cid:durableId="7217207">
    <w:abstractNumId w:val="31"/>
  </w:num>
  <w:num w:numId="29" w16cid:durableId="1684670371">
    <w:abstractNumId w:val="6"/>
  </w:num>
  <w:num w:numId="30" w16cid:durableId="1711102202">
    <w:abstractNumId w:val="5"/>
  </w:num>
  <w:num w:numId="31" w16cid:durableId="1517429002">
    <w:abstractNumId w:val="27"/>
  </w:num>
  <w:num w:numId="32" w16cid:durableId="136076672">
    <w:abstractNumId w:val="13"/>
  </w:num>
  <w:num w:numId="33" w16cid:durableId="747113830">
    <w:abstractNumId w:val="8"/>
  </w:num>
  <w:num w:numId="34" w16cid:durableId="1056514285">
    <w:abstractNumId w:val="19"/>
  </w:num>
  <w:num w:numId="35" w16cid:durableId="2002808715">
    <w:abstractNumId w:val="28"/>
  </w:num>
  <w:num w:numId="36" w16cid:durableId="1809929856">
    <w:abstractNumId w:val="22"/>
  </w:num>
  <w:num w:numId="37" w16cid:durableId="1309480702">
    <w:abstractNumId w:val="39"/>
  </w:num>
  <w:num w:numId="38" w16cid:durableId="857737261">
    <w:abstractNumId w:val="24"/>
  </w:num>
  <w:num w:numId="39" w16cid:durableId="1283003867">
    <w:abstractNumId w:val="20"/>
  </w:num>
  <w:num w:numId="40" w16cid:durableId="65223976">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25DF"/>
    <w:rsid w:val="00053D58"/>
    <w:rsid w:val="00063767"/>
    <w:rsid w:val="00064F90"/>
    <w:rsid w:val="00072716"/>
    <w:rsid w:val="00073431"/>
    <w:rsid w:val="0007431D"/>
    <w:rsid w:val="00081294"/>
    <w:rsid w:val="00083CA8"/>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314E"/>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1001"/>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5920"/>
    <w:rsid w:val="001E73E7"/>
    <w:rsid w:val="001E7EE4"/>
    <w:rsid w:val="001F5721"/>
    <w:rsid w:val="001F707F"/>
    <w:rsid w:val="00200ECC"/>
    <w:rsid w:val="00201475"/>
    <w:rsid w:val="00203357"/>
    <w:rsid w:val="00207990"/>
    <w:rsid w:val="00210409"/>
    <w:rsid w:val="002137DC"/>
    <w:rsid w:val="00215B93"/>
    <w:rsid w:val="00220867"/>
    <w:rsid w:val="002215E5"/>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B1863"/>
    <w:rsid w:val="002B4D99"/>
    <w:rsid w:val="002B51EF"/>
    <w:rsid w:val="002B6492"/>
    <w:rsid w:val="002C3AB4"/>
    <w:rsid w:val="002C4F6A"/>
    <w:rsid w:val="002C570F"/>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480A"/>
    <w:rsid w:val="00365F74"/>
    <w:rsid w:val="00371884"/>
    <w:rsid w:val="003740DC"/>
    <w:rsid w:val="003757D5"/>
    <w:rsid w:val="00380E4A"/>
    <w:rsid w:val="00380FED"/>
    <w:rsid w:val="00383148"/>
    <w:rsid w:val="00387EAA"/>
    <w:rsid w:val="003A43AE"/>
    <w:rsid w:val="003A5231"/>
    <w:rsid w:val="003A6607"/>
    <w:rsid w:val="003B2F64"/>
    <w:rsid w:val="003B4C75"/>
    <w:rsid w:val="003B4EB6"/>
    <w:rsid w:val="003B5AE2"/>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0AA1"/>
    <w:rsid w:val="00441EB1"/>
    <w:rsid w:val="00442340"/>
    <w:rsid w:val="0045049B"/>
    <w:rsid w:val="00450C61"/>
    <w:rsid w:val="004568D2"/>
    <w:rsid w:val="00464DD2"/>
    <w:rsid w:val="00466303"/>
    <w:rsid w:val="0047167A"/>
    <w:rsid w:val="00472411"/>
    <w:rsid w:val="00480EAD"/>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0642"/>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76074"/>
    <w:rsid w:val="0058379D"/>
    <w:rsid w:val="0059018C"/>
    <w:rsid w:val="0059075A"/>
    <w:rsid w:val="0059398E"/>
    <w:rsid w:val="00597E30"/>
    <w:rsid w:val="005A237C"/>
    <w:rsid w:val="005B2E13"/>
    <w:rsid w:val="005B3278"/>
    <w:rsid w:val="005B6401"/>
    <w:rsid w:val="005C473C"/>
    <w:rsid w:val="005C5D2F"/>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02C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17267"/>
    <w:rsid w:val="007319F8"/>
    <w:rsid w:val="0073536C"/>
    <w:rsid w:val="00736A31"/>
    <w:rsid w:val="0074386B"/>
    <w:rsid w:val="0074512E"/>
    <w:rsid w:val="00745D3D"/>
    <w:rsid w:val="00747911"/>
    <w:rsid w:val="0075230B"/>
    <w:rsid w:val="00752F67"/>
    <w:rsid w:val="00755231"/>
    <w:rsid w:val="00755354"/>
    <w:rsid w:val="00756B71"/>
    <w:rsid w:val="00760F1B"/>
    <w:rsid w:val="007658E3"/>
    <w:rsid w:val="007748D3"/>
    <w:rsid w:val="00774C8C"/>
    <w:rsid w:val="00776708"/>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D3B0F"/>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5E53"/>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3664"/>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C41A8"/>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17DB7"/>
    <w:rsid w:val="00A25119"/>
    <w:rsid w:val="00A25AA2"/>
    <w:rsid w:val="00A2745E"/>
    <w:rsid w:val="00A31154"/>
    <w:rsid w:val="00A34392"/>
    <w:rsid w:val="00A409CA"/>
    <w:rsid w:val="00A4304A"/>
    <w:rsid w:val="00A457A1"/>
    <w:rsid w:val="00A50387"/>
    <w:rsid w:val="00A504C1"/>
    <w:rsid w:val="00A5068B"/>
    <w:rsid w:val="00A55EBC"/>
    <w:rsid w:val="00A567D9"/>
    <w:rsid w:val="00A60463"/>
    <w:rsid w:val="00A62654"/>
    <w:rsid w:val="00A71408"/>
    <w:rsid w:val="00A730FB"/>
    <w:rsid w:val="00A739E1"/>
    <w:rsid w:val="00A80325"/>
    <w:rsid w:val="00A8069A"/>
    <w:rsid w:val="00A84A62"/>
    <w:rsid w:val="00A9237E"/>
    <w:rsid w:val="00A972C2"/>
    <w:rsid w:val="00AA2FBC"/>
    <w:rsid w:val="00AA342D"/>
    <w:rsid w:val="00AB15FA"/>
    <w:rsid w:val="00AB18B5"/>
    <w:rsid w:val="00AB4ED4"/>
    <w:rsid w:val="00AB66B6"/>
    <w:rsid w:val="00AC2885"/>
    <w:rsid w:val="00AC420C"/>
    <w:rsid w:val="00AC4631"/>
    <w:rsid w:val="00AC66A6"/>
    <w:rsid w:val="00AD03F3"/>
    <w:rsid w:val="00AD73D7"/>
    <w:rsid w:val="00AE65A8"/>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3E61"/>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45B84"/>
    <w:rsid w:val="00C52B40"/>
    <w:rsid w:val="00C5690C"/>
    <w:rsid w:val="00C57B7C"/>
    <w:rsid w:val="00C6485D"/>
    <w:rsid w:val="00C768E1"/>
    <w:rsid w:val="00C83E32"/>
    <w:rsid w:val="00C84F89"/>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1131"/>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9781E"/>
    <w:rsid w:val="00DA4A3E"/>
    <w:rsid w:val="00DB240D"/>
    <w:rsid w:val="00DB59AE"/>
    <w:rsid w:val="00DC03CC"/>
    <w:rsid w:val="00DC0481"/>
    <w:rsid w:val="00DC219A"/>
    <w:rsid w:val="00DC5B58"/>
    <w:rsid w:val="00DC7070"/>
    <w:rsid w:val="00DD1247"/>
    <w:rsid w:val="00DD3778"/>
    <w:rsid w:val="00DD4CB4"/>
    <w:rsid w:val="00DE054A"/>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35CA9"/>
    <w:rsid w:val="00E529B6"/>
    <w:rsid w:val="00E641FC"/>
    <w:rsid w:val="00E733BC"/>
    <w:rsid w:val="00E741AE"/>
    <w:rsid w:val="00E74697"/>
    <w:rsid w:val="00E75432"/>
    <w:rsid w:val="00E81B9F"/>
    <w:rsid w:val="00E92ABE"/>
    <w:rsid w:val="00E93254"/>
    <w:rsid w:val="00E939BF"/>
    <w:rsid w:val="00E940EC"/>
    <w:rsid w:val="00E9737E"/>
    <w:rsid w:val="00E97FBC"/>
    <w:rsid w:val="00EA07BB"/>
    <w:rsid w:val="00EA1C80"/>
    <w:rsid w:val="00EA276D"/>
    <w:rsid w:val="00EA616E"/>
    <w:rsid w:val="00EB06F8"/>
    <w:rsid w:val="00EC1E82"/>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F5C39"/>
    <w:rsid w:val="151B0FF3"/>
    <w:rsid w:val="49EB97C5"/>
    <w:rsid w:val="5824EE93"/>
    <w:rsid w:val="66E10584"/>
    <w:rsid w:val="6D6AA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21868875">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34910759">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742989872">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8689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4341684D-5505-45AC-9B55-F49BA018E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1323</Words>
  <Characters>7543</Characters>
  <Application>Microsoft Office Word</Application>
  <DocSecurity>0</DocSecurity>
  <Lines>62</Lines>
  <Paragraphs>17</Paragraphs>
  <ScaleCrop>false</ScaleCrop>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43</cp:revision>
  <cp:lastPrinted>2022-01-21T12:35:00Z</cp:lastPrinted>
  <dcterms:created xsi:type="dcterms:W3CDTF">2022-02-16T11:45:00Z</dcterms:created>
  <dcterms:modified xsi:type="dcterms:W3CDTF">2023-06-10T10:59:00Z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