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081AEE39">
        <w:trPr>
          <w:trHeight w:val="231"/>
        </w:trPr>
        <w:tc>
          <w:tcPr>
            <w:tcW w:w="11052" w:type="dxa"/>
            <w:gridSpan w:val="2"/>
            <w:vAlign w:val="center"/>
          </w:tcPr>
          <w:p w14:paraId="4E3A8083" w14:textId="1972C07B" w:rsidR="00E741AE" w:rsidRPr="00D83AA3" w:rsidRDefault="00F72BA4" w:rsidP="081AEE39">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81AEE39">
              <w:rPr>
                <w:rFonts w:ascii="Twinkl" w:hAnsi="Twinkl"/>
                <w:b/>
                <w:bCs/>
                <w:sz w:val="36"/>
                <w:szCs w:val="36"/>
              </w:rPr>
              <w:t xml:space="preserve">YEAR </w:t>
            </w:r>
            <w:r w:rsidR="00FF6CEC" w:rsidRPr="081AEE39">
              <w:rPr>
                <w:rFonts w:ascii="Twinkl" w:hAnsi="Twinkl"/>
                <w:b/>
                <w:bCs/>
                <w:sz w:val="36"/>
                <w:szCs w:val="36"/>
              </w:rPr>
              <w:t xml:space="preserve">2 </w:t>
            </w:r>
            <w:r w:rsidR="00254CD3" w:rsidRPr="081AEE39">
              <w:rPr>
                <w:rFonts w:ascii="Twinkl" w:hAnsi="Twinkl"/>
                <w:b/>
                <w:bCs/>
                <w:sz w:val="36"/>
                <w:szCs w:val="36"/>
              </w:rPr>
              <w:t>20</w:t>
            </w:r>
            <w:r w:rsidR="00535341" w:rsidRPr="081AEE39">
              <w:rPr>
                <w:rFonts w:ascii="Twinkl" w:hAnsi="Twinkl"/>
                <w:b/>
                <w:bCs/>
                <w:sz w:val="36"/>
                <w:szCs w:val="36"/>
              </w:rPr>
              <w:t>2</w:t>
            </w:r>
            <w:r w:rsidR="375EAD7F" w:rsidRPr="081AEE39">
              <w:rPr>
                <w:rFonts w:ascii="Twinkl" w:hAnsi="Twinkl"/>
                <w:b/>
                <w:bCs/>
                <w:sz w:val="36"/>
                <w:szCs w:val="36"/>
              </w:rPr>
              <w:t>3</w:t>
            </w:r>
            <w:r w:rsidR="00BE317D" w:rsidRPr="081AEE39">
              <w:rPr>
                <w:rFonts w:ascii="Twinkl" w:hAnsi="Twinkl"/>
                <w:b/>
                <w:bCs/>
                <w:sz w:val="36"/>
                <w:szCs w:val="36"/>
              </w:rPr>
              <w:t>-202</w:t>
            </w:r>
            <w:r w:rsidR="68E9B55F" w:rsidRPr="081AEE39">
              <w:rPr>
                <w:rFonts w:ascii="Twinkl" w:hAnsi="Twinkl"/>
                <w:b/>
                <w:bCs/>
                <w:sz w:val="36"/>
                <w:szCs w:val="36"/>
              </w:rPr>
              <w:t>4</w:t>
            </w:r>
            <w:r w:rsidR="00676160" w:rsidRPr="081AEE39">
              <w:rPr>
                <w:rFonts w:ascii="Twinkl" w:hAnsi="Twinkl"/>
                <w:b/>
                <w:bCs/>
                <w:sz w:val="36"/>
                <w:szCs w:val="36"/>
              </w:rPr>
              <w:t xml:space="preserve"> </w:t>
            </w:r>
            <w:r w:rsidR="00FF6CEC" w:rsidRPr="081AEE39">
              <w:rPr>
                <w:rFonts w:ascii="Twinkl" w:hAnsi="Twinkl"/>
                <w:b/>
                <w:bCs/>
                <w:sz w:val="36"/>
                <w:szCs w:val="36"/>
              </w:rPr>
              <w:t xml:space="preserve">spring </w:t>
            </w:r>
            <w:proofErr w:type="gramStart"/>
            <w:r w:rsidR="00FF6CEC" w:rsidRPr="081AEE39">
              <w:rPr>
                <w:rFonts w:ascii="Twinkl" w:hAnsi="Twinkl"/>
                <w:b/>
                <w:bCs/>
                <w:sz w:val="36"/>
                <w:szCs w:val="36"/>
              </w:rPr>
              <w:t xml:space="preserve">2 </w:t>
            </w:r>
            <w:r w:rsidR="00387EAA" w:rsidRPr="081AEE39">
              <w:rPr>
                <w:rFonts w:ascii="Twinkl" w:hAnsi="Twinkl"/>
                <w:b/>
                <w:bCs/>
                <w:sz w:val="36"/>
                <w:szCs w:val="36"/>
              </w:rPr>
              <w:t xml:space="preserve"> TERM</w:t>
            </w:r>
            <w:proofErr w:type="gramEnd"/>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00F72BA4" w:rsidRPr="00D83AA3">
              <w:rPr>
                <w:rFonts w:ascii="Twinkl" w:hAnsi="Twinkl"/>
                <w:b/>
                <w:sz w:val="22"/>
                <w:szCs w:val="22"/>
              </w:rPr>
              <w:t>all</w:t>
            </w:r>
            <w:proofErr w:type="gramEnd"/>
            <w:r w:rsidR="00F72BA4" w:rsidRPr="00D83AA3">
              <w:rPr>
                <w:rFonts w:ascii="Twinkl" w:hAnsi="Twinkl"/>
                <w:b/>
                <w:sz w:val="22"/>
                <w:szCs w:val="22"/>
              </w:rPr>
              <w:t>’</w:t>
            </w:r>
          </w:p>
          <w:p w14:paraId="77227CDF" w14:textId="132EC8EA"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FF6CEC">
              <w:rPr>
                <w:rFonts w:ascii="Twinkl" w:hAnsi="Twinkl"/>
                <w:b/>
                <w:sz w:val="32"/>
                <w:szCs w:val="32"/>
              </w:rPr>
              <w:t xml:space="preserve"> Gender </w:t>
            </w:r>
          </w:p>
        </w:tc>
      </w:tr>
      <w:tr w:rsidR="001A3057" w:rsidRPr="00D83AA3" w14:paraId="6E82A71D" w14:textId="77777777" w:rsidTr="081AEE39">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20E19116" w:rsidR="001A3057" w:rsidRDefault="00FF6CEC" w:rsidP="0036480A">
            <w:pPr>
              <w:autoSpaceDE w:val="0"/>
              <w:autoSpaceDN w:val="0"/>
              <w:adjustRightInd w:val="0"/>
              <w:jc w:val="center"/>
              <w:rPr>
                <w:rFonts w:cstheme="minorHAnsi"/>
                <w:b/>
                <w:bCs/>
                <w:sz w:val="20"/>
                <w:szCs w:val="20"/>
              </w:rPr>
            </w:pPr>
            <w:r>
              <w:rPr>
                <w:rFonts w:cstheme="minorHAnsi"/>
                <w:b/>
                <w:bCs/>
                <w:sz w:val="20"/>
                <w:szCs w:val="20"/>
              </w:rPr>
              <w:t>Pupils</w:t>
            </w:r>
            <w:r w:rsidR="001A3057" w:rsidRPr="00B02EC1">
              <w:rPr>
                <w:rFonts w:cstheme="minorHAnsi"/>
                <w:b/>
                <w:bCs/>
                <w:sz w:val="20"/>
                <w:szCs w:val="20"/>
              </w:rPr>
              <w:t xml:space="preserve">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p>
          <w:p w14:paraId="061DE641" w14:textId="18EE4799" w:rsidR="002B1D9D" w:rsidRDefault="002B1D9D" w:rsidP="002B1D9D">
            <w:pPr>
              <w:autoSpaceDE w:val="0"/>
              <w:autoSpaceDN w:val="0"/>
              <w:adjustRightInd w:val="0"/>
              <w:rPr>
                <w:rFonts w:cstheme="minorHAnsi"/>
                <w:b/>
                <w:bCs/>
                <w:sz w:val="20"/>
                <w:szCs w:val="20"/>
              </w:rPr>
            </w:pPr>
          </w:p>
          <w:p w14:paraId="36C3747E" w14:textId="77777777" w:rsidR="002B1D9D" w:rsidRPr="002B1D9D" w:rsidRDefault="002B1D9D" w:rsidP="002B1D9D">
            <w:pPr>
              <w:rPr>
                <w:b/>
                <w:sz w:val="20"/>
                <w:szCs w:val="20"/>
              </w:rPr>
            </w:pPr>
            <w:r w:rsidRPr="002B1D9D">
              <w:rPr>
                <w:b/>
                <w:sz w:val="20"/>
                <w:szCs w:val="20"/>
              </w:rPr>
              <w:t>Why do we teach this to students?</w:t>
            </w:r>
          </w:p>
          <w:p w14:paraId="0358E3E3" w14:textId="5409A990" w:rsidR="002B1D9D" w:rsidRPr="002B1D9D" w:rsidRDefault="002B1D9D" w:rsidP="002B1D9D">
            <w:pPr>
              <w:rPr>
                <w:sz w:val="20"/>
                <w:szCs w:val="20"/>
              </w:rPr>
            </w:pPr>
            <w:r w:rsidRPr="002B1D9D">
              <w:rPr>
                <w:sz w:val="20"/>
                <w:szCs w:val="20"/>
              </w:rPr>
              <w:t>This is an engaging optional topic in psychology which students find relatable and interesting; in exam terms, it isn’t too difficult for students to grasp either</w:t>
            </w:r>
            <w:r w:rsidR="001B070F">
              <w:rPr>
                <w:sz w:val="20"/>
                <w:szCs w:val="20"/>
              </w:rPr>
              <w:t xml:space="preserve"> at the stage in which we teach it</w:t>
            </w:r>
            <w:r w:rsidRPr="002B1D9D">
              <w:rPr>
                <w:sz w:val="20"/>
                <w:szCs w:val="20"/>
              </w:rPr>
              <w:t>.</w:t>
            </w:r>
          </w:p>
          <w:p w14:paraId="042B3457" w14:textId="77777777" w:rsidR="002B1D9D" w:rsidRPr="002B1D9D" w:rsidRDefault="002B1D9D" w:rsidP="002B1D9D">
            <w:pPr>
              <w:rPr>
                <w:b/>
                <w:sz w:val="20"/>
                <w:szCs w:val="20"/>
              </w:rPr>
            </w:pPr>
            <w:r w:rsidRPr="002B1D9D">
              <w:rPr>
                <w:b/>
                <w:sz w:val="20"/>
                <w:szCs w:val="20"/>
              </w:rPr>
              <w:t>Why do we teach this now?</w:t>
            </w:r>
          </w:p>
          <w:p w14:paraId="08839BEA" w14:textId="1E0310FD" w:rsidR="002B1D9D" w:rsidRPr="002B1D9D" w:rsidRDefault="002B1D9D" w:rsidP="002B1D9D">
            <w:pPr>
              <w:rPr>
                <w:sz w:val="20"/>
                <w:szCs w:val="20"/>
              </w:rPr>
            </w:pPr>
            <w:r w:rsidRPr="002B1D9D">
              <w:rPr>
                <w:sz w:val="20"/>
                <w:szCs w:val="20"/>
              </w:rPr>
              <w:t xml:space="preserve">The order of the </w:t>
            </w:r>
            <w:proofErr w:type="gramStart"/>
            <w:r w:rsidR="0085348E">
              <w:rPr>
                <w:sz w:val="20"/>
                <w:szCs w:val="20"/>
              </w:rPr>
              <w:t>3</w:t>
            </w:r>
            <w:r w:rsidRPr="002B1D9D">
              <w:rPr>
                <w:sz w:val="20"/>
                <w:szCs w:val="20"/>
              </w:rPr>
              <w:t xml:space="preserve"> year</w:t>
            </w:r>
            <w:proofErr w:type="gramEnd"/>
            <w:r w:rsidRPr="002B1D9D">
              <w:rPr>
                <w:sz w:val="20"/>
                <w:szCs w:val="20"/>
              </w:rPr>
              <w:t xml:space="preserve"> 13 topic</w:t>
            </w:r>
            <w:r w:rsidR="0085348E">
              <w:rPr>
                <w:sz w:val="20"/>
                <w:szCs w:val="20"/>
              </w:rPr>
              <w:t xml:space="preserve"> choice questions</w:t>
            </w:r>
            <w:r w:rsidRPr="002B1D9D">
              <w:rPr>
                <w:sz w:val="20"/>
                <w:szCs w:val="20"/>
              </w:rPr>
              <w:t xml:space="preserve"> is flexible, as long as they follow the year 12 topics</w:t>
            </w:r>
            <w:r w:rsidR="0089225C">
              <w:rPr>
                <w:sz w:val="20"/>
                <w:szCs w:val="20"/>
              </w:rPr>
              <w:t xml:space="preserve"> and build on those skills and</w:t>
            </w:r>
            <w:r w:rsidRPr="002B1D9D">
              <w:rPr>
                <w:sz w:val="20"/>
                <w:szCs w:val="20"/>
              </w:rPr>
              <w:t xml:space="preserve"> work around the existing research methods framework</w:t>
            </w:r>
            <w:r w:rsidR="0089225C">
              <w:rPr>
                <w:sz w:val="20"/>
                <w:szCs w:val="20"/>
              </w:rPr>
              <w:t xml:space="preserve"> learnt in year 1</w:t>
            </w:r>
            <w:r w:rsidRPr="002B1D9D">
              <w:rPr>
                <w:sz w:val="20"/>
                <w:szCs w:val="20"/>
              </w:rPr>
              <w:t>. We continue with Gender because it is option A of paper 3.</w:t>
            </w:r>
            <w:r w:rsidR="001B070F">
              <w:rPr>
                <w:sz w:val="20"/>
                <w:szCs w:val="20"/>
              </w:rPr>
              <w:t xml:space="preserve"> However, it makes sense </w:t>
            </w:r>
            <w:r w:rsidR="0085348E">
              <w:rPr>
                <w:sz w:val="20"/>
                <w:szCs w:val="20"/>
              </w:rPr>
              <w:t xml:space="preserve">to link it back to a lot of the issues and debates and so follows nicely for teacher two after the debates section. </w:t>
            </w:r>
          </w:p>
          <w:p w14:paraId="513B9241" w14:textId="22392D0D" w:rsidR="00E42EA0" w:rsidRPr="00E42EA0" w:rsidRDefault="002B1D9D"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Pr>
                <w:rFonts w:ascii="Verdana" w:eastAsia="Times New Roman" w:hAnsi="Verdana" w:cs="Times New Roman"/>
                <w:color w:val="4B4B4B"/>
                <w:sz w:val="16"/>
                <w:szCs w:val="16"/>
                <w:lang w:val="en-GB" w:eastAsia="en-GB"/>
              </w:rPr>
              <w:t>S</w:t>
            </w:r>
            <w:r w:rsidR="00E42EA0" w:rsidRPr="00E42EA0">
              <w:rPr>
                <w:rFonts w:ascii="Verdana" w:eastAsia="Times New Roman" w:hAnsi="Verdana" w:cs="Times New Roman"/>
                <w:color w:val="4B4B4B"/>
                <w:sz w:val="16"/>
                <w:szCs w:val="16"/>
                <w:lang w:val="en-GB" w:eastAsia="en-GB"/>
              </w:rPr>
              <w:t>ex and gender. Sex-role stereoty</w:t>
            </w:r>
            <w:r w:rsidR="00FD240E">
              <w:rPr>
                <w:rFonts w:ascii="Verdana" w:eastAsia="Times New Roman" w:hAnsi="Verdana" w:cs="Times New Roman"/>
                <w:color w:val="4B4B4B"/>
                <w:sz w:val="16"/>
                <w:szCs w:val="16"/>
                <w:lang w:val="en-GB" w:eastAsia="en-GB"/>
              </w:rPr>
              <w:t>p</w:t>
            </w:r>
            <w:r w:rsidR="00E42EA0" w:rsidRPr="00E42EA0">
              <w:rPr>
                <w:rFonts w:ascii="Verdana" w:eastAsia="Times New Roman" w:hAnsi="Verdana" w:cs="Times New Roman"/>
                <w:color w:val="4B4B4B"/>
                <w:sz w:val="16"/>
                <w:szCs w:val="16"/>
                <w:lang w:val="en-GB" w:eastAsia="en-GB"/>
              </w:rPr>
              <w:t>es. Androgyn</w:t>
            </w:r>
            <w:r w:rsidR="00FD240E">
              <w:rPr>
                <w:rFonts w:ascii="Verdana" w:eastAsia="Times New Roman" w:hAnsi="Verdana" w:cs="Times New Roman"/>
                <w:color w:val="4B4B4B"/>
                <w:sz w:val="16"/>
                <w:szCs w:val="16"/>
                <w:lang w:val="en-GB" w:eastAsia="en-GB"/>
              </w:rPr>
              <w:t>y</w:t>
            </w:r>
            <w:r w:rsidR="00E42EA0" w:rsidRPr="00E42EA0">
              <w:rPr>
                <w:rFonts w:ascii="Verdana" w:eastAsia="Times New Roman" w:hAnsi="Verdana" w:cs="Times New Roman"/>
                <w:color w:val="4B4B4B"/>
                <w:sz w:val="16"/>
                <w:szCs w:val="16"/>
                <w:lang w:val="en-GB" w:eastAsia="en-GB"/>
              </w:rPr>
              <w:t xml:space="preserve"> and measuring androgyny including the </w:t>
            </w:r>
            <w:proofErr w:type="spellStart"/>
            <w:r w:rsidR="00E42EA0" w:rsidRPr="00E42EA0">
              <w:rPr>
                <w:rFonts w:ascii="Verdana" w:eastAsia="Times New Roman" w:hAnsi="Verdana" w:cs="Times New Roman"/>
                <w:color w:val="4B4B4B"/>
                <w:sz w:val="16"/>
                <w:szCs w:val="16"/>
                <w:lang w:val="en-GB" w:eastAsia="en-GB"/>
              </w:rPr>
              <w:t>Bem</w:t>
            </w:r>
            <w:proofErr w:type="spellEnd"/>
            <w:r w:rsidR="00E42EA0" w:rsidRPr="00E42EA0">
              <w:rPr>
                <w:rFonts w:ascii="Verdana" w:eastAsia="Times New Roman" w:hAnsi="Verdana" w:cs="Times New Roman"/>
                <w:color w:val="4B4B4B"/>
                <w:sz w:val="16"/>
                <w:szCs w:val="16"/>
                <w:lang w:val="en-GB" w:eastAsia="en-GB"/>
              </w:rPr>
              <w:t xml:space="preserve"> Sex Role Inventory.</w:t>
            </w:r>
          </w:p>
          <w:p w14:paraId="7566A412" w14:textId="77777777" w:rsidR="00E42EA0" w:rsidRPr="00E42EA0" w:rsidRDefault="00E42EA0"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sidRPr="00E42EA0">
              <w:rPr>
                <w:rFonts w:ascii="Verdana" w:eastAsia="Times New Roman" w:hAnsi="Verdana" w:cs="Times New Roman"/>
                <w:color w:val="4B4B4B"/>
                <w:sz w:val="16"/>
                <w:szCs w:val="16"/>
                <w:lang w:val="en-GB" w:eastAsia="en-GB"/>
              </w:rPr>
              <w:t xml:space="preserve">The role of chromosomes and hormones (testosterone, </w:t>
            </w:r>
            <w:proofErr w:type="gramStart"/>
            <w:r w:rsidRPr="00E42EA0">
              <w:rPr>
                <w:rFonts w:ascii="Verdana" w:eastAsia="Times New Roman" w:hAnsi="Verdana" w:cs="Times New Roman"/>
                <w:color w:val="4B4B4B"/>
                <w:sz w:val="16"/>
                <w:szCs w:val="16"/>
                <w:lang w:val="en-GB" w:eastAsia="en-GB"/>
              </w:rPr>
              <w:t>oestrogen</w:t>
            </w:r>
            <w:proofErr w:type="gramEnd"/>
            <w:r w:rsidRPr="00E42EA0">
              <w:rPr>
                <w:rFonts w:ascii="Verdana" w:eastAsia="Times New Roman" w:hAnsi="Verdana" w:cs="Times New Roman"/>
                <w:color w:val="4B4B4B"/>
                <w:sz w:val="16"/>
                <w:szCs w:val="16"/>
                <w:lang w:val="en-GB" w:eastAsia="en-GB"/>
              </w:rPr>
              <w:t xml:space="preserve"> and oxytocin) in sex and gender. Atypical sex chromosome patterns: Klinefelter’s syndrome and Turner’s syndrome.</w:t>
            </w:r>
          </w:p>
          <w:p w14:paraId="7DB14C48" w14:textId="77777777" w:rsidR="00E42EA0" w:rsidRPr="00E42EA0" w:rsidRDefault="00E42EA0"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sidRPr="00E42EA0">
              <w:rPr>
                <w:rFonts w:ascii="Verdana" w:eastAsia="Times New Roman" w:hAnsi="Verdana" w:cs="Times New Roman"/>
                <w:color w:val="4B4B4B"/>
                <w:sz w:val="16"/>
                <w:szCs w:val="16"/>
                <w:lang w:val="en-GB" w:eastAsia="en-GB"/>
              </w:rPr>
              <w:t>Cognitive explanations of gender development, Kohlberg’s theory, gender identity, gender stability and gender constancy; gender schema theory.</w:t>
            </w:r>
          </w:p>
          <w:p w14:paraId="15C86F34" w14:textId="77777777" w:rsidR="00E42EA0" w:rsidRPr="00E42EA0" w:rsidRDefault="00E42EA0"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sidRPr="00E42EA0">
              <w:rPr>
                <w:rFonts w:ascii="Verdana" w:eastAsia="Times New Roman" w:hAnsi="Verdana" w:cs="Times New Roman"/>
                <w:color w:val="4B4B4B"/>
                <w:sz w:val="16"/>
                <w:szCs w:val="16"/>
                <w:lang w:val="en-GB" w:eastAsia="en-GB"/>
              </w:rPr>
              <w:t>Psychodynamic explanation of gender development, Freud’s psychoanalytic theory, Oedipus complex; Electra complex; identification and internalisation.</w:t>
            </w:r>
          </w:p>
          <w:p w14:paraId="455ED9E8" w14:textId="77777777" w:rsidR="00E42EA0" w:rsidRPr="00E42EA0" w:rsidRDefault="00E42EA0"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sidRPr="00E42EA0">
              <w:rPr>
                <w:rFonts w:ascii="Verdana" w:eastAsia="Times New Roman" w:hAnsi="Verdana" w:cs="Times New Roman"/>
                <w:color w:val="4B4B4B"/>
                <w:sz w:val="16"/>
                <w:szCs w:val="16"/>
                <w:lang w:val="en-GB" w:eastAsia="en-GB"/>
              </w:rPr>
              <w:t>Social learning theory as applied to gender development. The influence of culture and media on gender roles.</w:t>
            </w:r>
          </w:p>
          <w:p w14:paraId="62DA8613" w14:textId="178AB93E" w:rsidR="00E42EA0" w:rsidRDefault="00E42EA0" w:rsidP="00E42EA0">
            <w:pPr>
              <w:numPr>
                <w:ilvl w:val="0"/>
                <w:numId w:val="40"/>
              </w:numPr>
              <w:shd w:val="clear" w:color="auto" w:fill="FFFFFF"/>
              <w:spacing w:before="100" w:beforeAutospacing="1" w:after="100" w:afterAutospacing="1"/>
              <w:rPr>
                <w:rFonts w:ascii="Verdana" w:eastAsia="Times New Roman" w:hAnsi="Verdana" w:cs="Times New Roman"/>
                <w:color w:val="4B4B4B"/>
                <w:sz w:val="16"/>
                <w:szCs w:val="16"/>
                <w:lang w:val="en-GB" w:eastAsia="en-GB"/>
              </w:rPr>
            </w:pPr>
            <w:r w:rsidRPr="00E42EA0">
              <w:rPr>
                <w:rFonts w:ascii="Verdana" w:eastAsia="Times New Roman" w:hAnsi="Verdana" w:cs="Times New Roman"/>
                <w:color w:val="4B4B4B"/>
                <w:sz w:val="16"/>
                <w:szCs w:val="16"/>
                <w:lang w:val="en-GB" w:eastAsia="en-GB"/>
              </w:rPr>
              <w:t>Atypical gender development: gender dysphoria; biological and social explanations for gender dysphoria.</w:t>
            </w:r>
          </w:p>
          <w:p w14:paraId="7047311E" w14:textId="77777777" w:rsidR="00FD240E" w:rsidRDefault="00FD240E" w:rsidP="00FD240E">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32307BD3" w:rsidR="001A3057" w:rsidRPr="00B02EC1" w:rsidRDefault="001A3057"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081AEE39">
        <w:trPr>
          <w:trHeight w:val="4525"/>
        </w:trPr>
        <w:tc>
          <w:tcPr>
            <w:tcW w:w="2100" w:type="dxa"/>
            <w:shd w:val="clear" w:color="auto" w:fill="BFBFBF" w:themeFill="background1" w:themeFillShade="BF"/>
            <w:vAlign w:val="center"/>
          </w:tcPr>
          <w:p w14:paraId="54C6F2B5" w14:textId="28C93DFB"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1C527B">
              <w:rPr>
                <w:rFonts w:ascii="Twinkl" w:hAnsi="Twinkl"/>
                <w:b/>
              </w:rPr>
              <w:t>Assessment Objective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081AEE39">
        <w:trPr>
          <w:trHeight w:val="334"/>
        </w:trPr>
        <w:tc>
          <w:tcPr>
            <w:tcW w:w="2100" w:type="dxa"/>
            <w:shd w:val="clear" w:color="auto" w:fill="BFBFBF" w:themeFill="background1" w:themeFillShade="BF"/>
            <w:vAlign w:val="center"/>
          </w:tcPr>
          <w:p w14:paraId="22BBF83D" w14:textId="4128167E" w:rsidR="00665355" w:rsidRPr="00D83AA3" w:rsidRDefault="00BA5398"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177132B6"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99210C" w:rsidRPr="0099210C">
              <w:rPr>
                <w:rFonts w:ascii="Twinkl" w:hAnsi="Twinkl"/>
                <w:bCs/>
                <w:sz w:val="20"/>
                <w:szCs w:val="20"/>
              </w:rPr>
              <w:t>Care and compassion towards people choices of gender identity</w:t>
            </w:r>
          </w:p>
          <w:p w14:paraId="45A40DA0" w14:textId="77777777" w:rsidR="00244055"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1B505F">
              <w:rPr>
                <w:rFonts w:ascii="Twinkl" w:hAnsi="Twinkl"/>
                <w:b/>
                <w:sz w:val="20"/>
                <w:szCs w:val="20"/>
              </w:rPr>
              <w:t xml:space="preserve">: </w:t>
            </w:r>
            <w:r w:rsidR="001B505F">
              <w:t xml:space="preserve"> </w:t>
            </w:r>
            <w:r w:rsidR="001B505F" w:rsidRPr="001B505F">
              <w:rPr>
                <w:rFonts w:ascii="Twinkl" w:hAnsi="Twinkl"/>
                <w:bCs/>
                <w:sz w:val="20"/>
                <w:szCs w:val="20"/>
              </w:rPr>
              <w:t>Gender identity</w:t>
            </w:r>
            <w:r w:rsidR="00244055">
              <w:rPr>
                <w:rFonts w:ascii="Twinkl" w:hAnsi="Twinkl"/>
                <w:bCs/>
                <w:sz w:val="20"/>
                <w:szCs w:val="20"/>
              </w:rPr>
              <w:t xml:space="preserve">, </w:t>
            </w:r>
          </w:p>
          <w:tbl>
            <w:tblPr>
              <w:tblW w:w="8240" w:type="dxa"/>
              <w:tblLook w:val="04A0" w:firstRow="1" w:lastRow="0" w:firstColumn="1" w:lastColumn="0" w:noHBand="0" w:noVBand="1"/>
            </w:tblPr>
            <w:tblGrid>
              <w:gridCol w:w="8240"/>
            </w:tblGrid>
            <w:tr w:rsidR="00244055" w:rsidRPr="00244055" w14:paraId="7003521A" w14:textId="77777777" w:rsidTr="00244055">
              <w:trPr>
                <w:trHeight w:val="300"/>
              </w:trPr>
              <w:tc>
                <w:tcPr>
                  <w:tcW w:w="8240" w:type="dxa"/>
                  <w:tcBorders>
                    <w:top w:val="nil"/>
                    <w:left w:val="nil"/>
                    <w:bottom w:val="nil"/>
                    <w:right w:val="nil"/>
                  </w:tcBorders>
                  <w:shd w:val="clear" w:color="auto" w:fill="auto"/>
                  <w:noWrap/>
                  <w:vAlign w:val="bottom"/>
                  <w:hideMark/>
                </w:tcPr>
                <w:p w14:paraId="41AB9F19" w14:textId="34F551BF" w:rsidR="00244055" w:rsidRPr="00244055" w:rsidRDefault="00244055" w:rsidP="00A21F79">
                  <w:pPr>
                    <w:framePr w:hSpace="180" w:wrap="around" w:vAnchor="page" w:hAnchor="margin" w:y="541"/>
                    <w:rPr>
                      <w:rFonts w:eastAsia="Times New Roman" w:cstheme="minorHAnsi"/>
                      <w:color w:val="000000"/>
                      <w:sz w:val="20"/>
                      <w:szCs w:val="20"/>
                      <w:lang w:val="en-GB" w:eastAsia="en-GB"/>
                    </w:rPr>
                  </w:pPr>
                  <w:r w:rsidRPr="00244055">
                    <w:rPr>
                      <w:rFonts w:eastAsia="Times New Roman" w:cstheme="minorHAnsi"/>
                      <w:color w:val="000000"/>
                      <w:sz w:val="20"/>
                      <w:szCs w:val="20"/>
                      <w:lang w:val="en-GB" w:eastAsia="en-GB"/>
                    </w:rPr>
                    <w:t>Key facts about puberty, the changing adolescent body and menstrual wellbeing</w:t>
                  </w:r>
                </w:p>
              </w:tc>
            </w:tr>
            <w:tr w:rsidR="00244055" w:rsidRPr="00244055" w14:paraId="0660C593" w14:textId="77777777" w:rsidTr="00244055">
              <w:trPr>
                <w:trHeight w:val="300"/>
              </w:trPr>
              <w:tc>
                <w:tcPr>
                  <w:tcW w:w="8240" w:type="dxa"/>
                  <w:tcBorders>
                    <w:top w:val="nil"/>
                    <w:left w:val="nil"/>
                    <w:bottom w:val="nil"/>
                    <w:right w:val="nil"/>
                  </w:tcBorders>
                  <w:shd w:val="clear" w:color="auto" w:fill="auto"/>
                  <w:noWrap/>
                  <w:vAlign w:val="bottom"/>
                  <w:hideMark/>
                </w:tcPr>
                <w:p w14:paraId="4A71AF59" w14:textId="4F7B5CA0" w:rsidR="00244055" w:rsidRPr="00244055" w:rsidRDefault="00244055" w:rsidP="00A21F79">
                  <w:pPr>
                    <w:framePr w:hSpace="180" w:wrap="around" w:vAnchor="page" w:hAnchor="margin" w:y="541"/>
                    <w:rPr>
                      <w:rFonts w:eastAsia="Times New Roman" w:cstheme="minorHAnsi"/>
                      <w:color w:val="000000"/>
                      <w:sz w:val="20"/>
                      <w:szCs w:val="20"/>
                      <w:lang w:val="en-GB" w:eastAsia="en-GB"/>
                    </w:rPr>
                  </w:pPr>
                  <w:r w:rsidRPr="00244055">
                    <w:rPr>
                      <w:rFonts w:eastAsia="Times New Roman" w:cstheme="minorHAnsi"/>
                      <w:color w:val="000000"/>
                      <w:sz w:val="20"/>
                      <w:szCs w:val="20"/>
                      <w:lang w:val="en-GB" w:eastAsia="en-GB"/>
                    </w:rPr>
                    <w:t>The main changes taking place in males and females during puberty</w:t>
                  </w:r>
                </w:p>
              </w:tc>
            </w:tr>
          </w:tbl>
          <w:p w14:paraId="17018E3D" w14:textId="6FDA8795" w:rsidR="00A457A1" w:rsidRPr="0099210C" w:rsidRDefault="00874180" w:rsidP="0099210C">
            <w:pPr>
              <w:rPr>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99210C" w:rsidRPr="00DE7F7E">
              <w:rPr>
                <w:b/>
                <w:sz w:val="20"/>
                <w:szCs w:val="20"/>
              </w:rPr>
              <w:t xml:space="preserve"> Mutual respect –</w:t>
            </w:r>
            <w:r w:rsidR="0099210C">
              <w:rPr>
                <w:sz w:val="20"/>
                <w:szCs w:val="20"/>
              </w:rPr>
              <w:t xml:space="preserve"> through understanding that people form, maintain &amp; dissolve relationships for many different reasons, theoretical or otherwise. </w:t>
            </w:r>
            <w:r w:rsidR="0099210C" w:rsidRPr="00DE7F7E">
              <w:rPr>
                <w:b/>
                <w:sz w:val="20"/>
                <w:szCs w:val="20"/>
              </w:rPr>
              <w:t>Tolerance of different culture &amp; religion –</w:t>
            </w:r>
            <w:r w:rsidR="0099210C">
              <w:rPr>
                <w:sz w:val="20"/>
                <w:szCs w:val="20"/>
              </w:rPr>
              <w:t xml:space="preserve"> through understanding how relationships can differ across cultures, </w:t>
            </w:r>
            <w:proofErr w:type="gramStart"/>
            <w:r w:rsidR="0099210C">
              <w:rPr>
                <w:sz w:val="20"/>
                <w:szCs w:val="20"/>
              </w:rPr>
              <w:t>religion</w:t>
            </w:r>
            <w:proofErr w:type="gramEnd"/>
            <w:r w:rsidR="0099210C">
              <w:rPr>
                <w:sz w:val="20"/>
                <w:szCs w:val="20"/>
              </w:rPr>
              <w:t xml:space="preserve"> and time.</w:t>
            </w:r>
          </w:p>
          <w:p w14:paraId="57B5309D"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7C7D63">
              <w:rPr>
                <w:rFonts w:ascii="Twinkl" w:hAnsi="Twinkl" w:cs="Arial"/>
                <w:b/>
                <w:sz w:val="20"/>
                <w:szCs w:val="20"/>
              </w:rPr>
              <w:t xml:space="preserve"> </w:t>
            </w:r>
            <w:r w:rsidR="007C7D63">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111BB328" w:rsidR="00B73751" w:rsidRPr="00B73751" w:rsidRDefault="00B73751" w:rsidP="00A457A1">
            <w:pPr>
              <w:autoSpaceDE w:val="0"/>
              <w:autoSpaceDN w:val="0"/>
              <w:adjustRightInd w:val="0"/>
              <w:rPr>
                <w:rFonts w:ascii="Twinkl" w:hAnsi="Twinkl" w:cs="Arial"/>
                <w:bCs/>
                <w:sz w:val="20"/>
                <w:szCs w:val="20"/>
              </w:rPr>
            </w:pPr>
            <w:r>
              <w:rPr>
                <w:rFonts w:eastAsia="Times New Roman" w:cstheme="minorHAnsi"/>
                <w:b/>
                <w:color w:val="191919"/>
                <w:sz w:val="20"/>
                <w:szCs w:val="20"/>
                <w:lang w:eastAsia="en-GB"/>
              </w:rPr>
              <w:t xml:space="preserve">Relationship: </w:t>
            </w:r>
            <w:r>
              <w:rPr>
                <w:rFonts w:eastAsia="Times New Roman" w:cstheme="minorHAnsi"/>
                <w:bCs/>
                <w:color w:val="191919"/>
                <w:sz w:val="20"/>
                <w:szCs w:val="20"/>
                <w:lang w:eastAsia="en-GB"/>
              </w:rPr>
              <w:t xml:space="preserve"> sexual orientation and gender identity is explored here. An understanding that young people may be discovering and understanding their sexual orientation and gender identity – this </w:t>
            </w:r>
            <w:proofErr w:type="gramStart"/>
            <w:r>
              <w:rPr>
                <w:rFonts w:eastAsia="Times New Roman" w:cstheme="minorHAnsi"/>
                <w:bCs/>
                <w:color w:val="191919"/>
                <w:sz w:val="20"/>
                <w:szCs w:val="20"/>
                <w:lang w:eastAsia="en-GB"/>
              </w:rPr>
              <w:t>has to</w:t>
            </w:r>
            <w:proofErr w:type="gramEnd"/>
            <w:r>
              <w:rPr>
                <w:rFonts w:eastAsia="Times New Roman" w:cstheme="minorHAnsi"/>
                <w:bCs/>
                <w:color w:val="191919"/>
                <w:sz w:val="20"/>
                <w:szCs w:val="20"/>
                <w:lang w:eastAsia="en-GB"/>
              </w:rPr>
              <w:t xml:space="preserve"> be done in an extremely sensitive manner</w:t>
            </w:r>
            <w:r w:rsidR="00621FD7">
              <w:rPr>
                <w:rFonts w:eastAsia="Times New Roman" w:cstheme="minorHAnsi"/>
                <w:bCs/>
                <w:color w:val="191919"/>
                <w:sz w:val="20"/>
                <w:szCs w:val="20"/>
                <w:lang w:eastAsia="en-GB"/>
              </w:rPr>
              <w:t>. Different perspectives on the expla</w:t>
            </w:r>
            <w:r w:rsidR="00E3469F">
              <w:rPr>
                <w:rFonts w:eastAsia="Times New Roman" w:cstheme="minorHAnsi"/>
                <w:bCs/>
                <w:color w:val="191919"/>
                <w:sz w:val="20"/>
                <w:szCs w:val="20"/>
                <w:lang w:eastAsia="en-GB"/>
              </w:rPr>
              <w:t xml:space="preserve">nations of gender development are explored. </w:t>
            </w:r>
          </w:p>
        </w:tc>
      </w:tr>
      <w:tr w:rsidR="005913F3" w:rsidRPr="00D83AA3" w14:paraId="7D9966B7" w14:textId="77777777" w:rsidTr="081AEE39">
        <w:trPr>
          <w:trHeight w:val="334"/>
        </w:trPr>
        <w:tc>
          <w:tcPr>
            <w:tcW w:w="2100" w:type="dxa"/>
            <w:shd w:val="clear" w:color="auto" w:fill="BFBFBF" w:themeFill="background1" w:themeFillShade="BF"/>
            <w:vAlign w:val="center"/>
          </w:tcPr>
          <w:p w14:paraId="648739C2" w14:textId="73BCFEA5" w:rsidR="005913F3" w:rsidRDefault="005913F3" w:rsidP="00BA45DC">
            <w:pPr>
              <w:jc w:val="center"/>
              <w:rPr>
                <w:rFonts w:ascii="Twinkl" w:hAnsi="Twinkl"/>
                <w:b/>
              </w:rPr>
            </w:pPr>
            <w:r>
              <w:rPr>
                <w:rFonts w:ascii="Twinkl" w:hAnsi="Twinkl"/>
                <w:b/>
              </w:rPr>
              <w:t xml:space="preserve">Numeracy </w:t>
            </w:r>
          </w:p>
        </w:tc>
        <w:tc>
          <w:tcPr>
            <w:tcW w:w="8952" w:type="dxa"/>
            <w:vAlign w:val="center"/>
          </w:tcPr>
          <w:p w14:paraId="32BFA7E9" w14:textId="4AF57168" w:rsidR="005913F3" w:rsidRPr="000F7748" w:rsidRDefault="000F7748" w:rsidP="00A457A1">
            <w:pPr>
              <w:autoSpaceDE w:val="0"/>
              <w:autoSpaceDN w:val="0"/>
              <w:adjustRightInd w:val="0"/>
              <w:rPr>
                <w:rFonts w:ascii="Twinkl" w:hAnsi="Twinkl"/>
                <w:bCs/>
                <w:sz w:val="20"/>
                <w:szCs w:val="20"/>
              </w:rPr>
            </w:pPr>
            <w:r w:rsidRPr="000F7748">
              <w:rPr>
                <w:rFonts w:ascii="Twinkl" w:hAnsi="Twinkl"/>
                <w:bCs/>
                <w:sz w:val="20"/>
                <w:szCs w:val="20"/>
              </w:rPr>
              <w:t xml:space="preserve">RM is tested throughout the specification </w:t>
            </w:r>
            <w:proofErr w:type="spellStart"/>
            <w:proofErr w:type="gramStart"/>
            <w:r w:rsidRPr="000F7748">
              <w:rPr>
                <w:rFonts w:ascii="Twinkl" w:hAnsi="Twinkl"/>
                <w:bCs/>
                <w:sz w:val="20"/>
                <w:szCs w:val="20"/>
              </w:rPr>
              <w:t>eg</w:t>
            </w:r>
            <w:proofErr w:type="spellEnd"/>
            <w:proofErr w:type="gramEnd"/>
            <w:r w:rsidRPr="000F7748">
              <w:rPr>
                <w:rFonts w:ascii="Twinkl" w:hAnsi="Twinkl"/>
                <w:bCs/>
                <w:sz w:val="20"/>
                <w:szCs w:val="20"/>
              </w:rPr>
              <w:t xml:space="preserve"> statistics on genetics. </w:t>
            </w:r>
          </w:p>
        </w:tc>
      </w:tr>
      <w:tr w:rsidR="005913F3" w:rsidRPr="00D83AA3" w14:paraId="02D9A30A" w14:textId="77777777" w:rsidTr="081AEE39">
        <w:trPr>
          <w:trHeight w:val="334"/>
        </w:trPr>
        <w:tc>
          <w:tcPr>
            <w:tcW w:w="2100" w:type="dxa"/>
            <w:shd w:val="clear" w:color="auto" w:fill="BFBFBF" w:themeFill="background1" w:themeFillShade="BF"/>
            <w:vAlign w:val="center"/>
          </w:tcPr>
          <w:p w14:paraId="5A9B812B" w14:textId="08DB5F9A" w:rsidR="005913F3" w:rsidRDefault="005913F3" w:rsidP="00BA45DC">
            <w:pPr>
              <w:jc w:val="center"/>
              <w:rPr>
                <w:rFonts w:ascii="Twinkl" w:hAnsi="Twinkl"/>
                <w:b/>
              </w:rPr>
            </w:pPr>
            <w:r>
              <w:rPr>
                <w:rFonts w:ascii="Twinkl" w:hAnsi="Twinkl"/>
                <w:b/>
              </w:rPr>
              <w:t xml:space="preserve">Literacy </w:t>
            </w:r>
          </w:p>
        </w:tc>
        <w:tc>
          <w:tcPr>
            <w:tcW w:w="8952" w:type="dxa"/>
            <w:vAlign w:val="center"/>
          </w:tcPr>
          <w:p w14:paraId="63BFA99A" w14:textId="36370AC8" w:rsidR="005913F3" w:rsidRDefault="005913F3" w:rsidP="005913F3">
            <w:pPr>
              <w:autoSpaceDE w:val="0"/>
              <w:autoSpaceDN w:val="0"/>
              <w:adjustRightInd w:val="0"/>
              <w:rPr>
                <w:rFonts w:ascii="Twinkl" w:hAnsi="Twinkl"/>
                <w:bCs/>
                <w:sz w:val="20"/>
                <w:szCs w:val="20"/>
              </w:rPr>
            </w:pPr>
            <w:r>
              <w:rPr>
                <w:rFonts w:ascii="Twinkl" w:hAnsi="Twinkl"/>
                <w:b/>
                <w:sz w:val="20"/>
                <w:szCs w:val="20"/>
              </w:rPr>
              <w:t>Vocabulary Tier 2</w:t>
            </w:r>
            <w:r w:rsidRPr="006B32D2">
              <w:rPr>
                <w:rFonts w:ascii="Twinkl" w:hAnsi="Twinkl"/>
                <w:bCs/>
                <w:sz w:val="20"/>
                <w:szCs w:val="20"/>
              </w:rPr>
              <w:t>:</w:t>
            </w:r>
            <w:r w:rsidR="006B32D2" w:rsidRPr="006B32D2">
              <w:rPr>
                <w:rFonts w:ascii="Twinkl" w:hAnsi="Twinkl"/>
                <w:bCs/>
                <w:sz w:val="20"/>
                <w:szCs w:val="20"/>
              </w:rPr>
              <w:t xml:space="preserve"> gender, nature </w:t>
            </w:r>
            <w:proofErr w:type="gramStart"/>
            <w:r w:rsidR="006B32D2" w:rsidRPr="006B32D2">
              <w:rPr>
                <w:rFonts w:ascii="Twinkl" w:hAnsi="Twinkl"/>
                <w:bCs/>
                <w:sz w:val="20"/>
                <w:szCs w:val="20"/>
              </w:rPr>
              <w:t>nurture</w:t>
            </w:r>
            <w:r w:rsidR="006B32D2">
              <w:rPr>
                <w:rFonts w:ascii="Twinkl" w:hAnsi="Twinkl"/>
                <w:b/>
                <w:sz w:val="20"/>
                <w:szCs w:val="20"/>
              </w:rPr>
              <w:t xml:space="preserve">, </w:t>
            </w:r>
            <w:r w:rsidR="006B32D2" w:rsidRPr="00C6647A">
              <w:rPr>
                <w:rFonts w:cstheme="minorHAnsi"/>
                <w:bCs/>
                <w:sz w:val="20"/>
                <w:szCs w:val="20"/>
              </w:rPr>
              <w:t xml:space="preserve"> Hormones</w:t>
            </w:r>
            <w:proofErr w:type="gramEnd"/>
          </w:p>
          <w:p w14:paraId="0DF95F6D" w14:textId="22F70A17" w:rsidR="006F1060" w:rsidRPr="00C6647A" w:rsidRDefault="005913F3" w:rsidP="006F1060">
            <w:pPr>
              <w:autoSpaceDE w:val="0"/>
              <w:autoSpaceDN w:val="0"/>
              <w:adjustRightInd w:val="0"/>
              <w:rPr>
                <w:rFonts w:cstheme="minorHAnsi"/>
                <w:bCs/>
                <w:sz w:val="20"/>
                <w:szCs w:val="20"/>
              </w:rPr>
            </w:pPr>
            <w:r>
              <w:rPr>
                <w:rFonts w:ascii="Twinkl" w:hAnsi="Twinkl"/>
                <w:b/>
                <w:sz w:val="20"/>
                <w:szCs w:val="20"/>
              </w:rPr>
              <w:t>Vocabulary Tier 3:</w:t>
            </w:r>
            <w:r w:rsidR="006F1060">
              <w:rPr>
                <w:rFonts w:ascii="Twinkl" w:hAnsi="Twinkl"/>
                <w:b/>
                <w:sz w:val="20"/>
                <w:szCs w:val="20"/>
              </w:rPr>
              <w:t xml:space="preserve"> </w:t>
            </w:r>
            <w:r w:rsidR="006F1060">
              <w:rPr>
                <w:rFonts w:ascii="Twinkl" w:hAnsi="Twinkl" w:cs="Arial"/>
                <w:b/>
                <w:sz w:val="20"/>
                <w:szCs w:val="20"/>
              </w:rPr>
              <w:t xml:space="preserve"> a</w:t>
            </w:r>
            <w:r w:rsidR="006F1060" w:rsidRPr="00C6647A">
              <w:rPr>
                <w:rFonts w:cstheme="minorHAnsi"/>
                <w:bCs/>
                <w:sz w:val="20"/>
                <w:szCs w:val="20"/>
              </w:rPr>
              <w:t xml:space="preserve">ndrogyny, </w:t>
            </w:r>
            <w:proofErr w:type="spellStart"/>
            <w:r w:rsidR="006F1060" w:rsidRPr="00C6647A">
              <w:rPr>
                <w:rFonts w:cstheme="minorHAnsi"/>
                <w:bCs/>
                <w:sz w:val="20"/>
                <w:szCs w:val="20"/>
              </w:rPr>
              <w:t>chromasomes</w:t>
            </w:r>
            <w:proofErr w:type="spellEnd"/>
            <w:r w:rsidR="006F1060" w:rsidRPr="00C6647A">
              <w:rPr>
                <w:rFonts w:cstheme="minorHAnsi"/>
                <w:bCs/>
                <w:sz w:val="20"/>
                <w:szCs w:val="20"/>
              </w:rPr>
              <w:t xml:space="preserve">, mediational processes, imposed etic, Oedipus and </w:t>
            </w:r>
            <w:proofErr w:type="spellStart"/>
            <w:r w:rsidR="006F1060" w:rsidRPr="00C6647A">
              <w:rPr>
                <w:rFonts w:cstheme="minorHAnsi"/>
                <w:bCs/>
                <w:sz w:val="20"/>
                <w:szCs w:val="20"/>
              </w:rPr>
              <w:t>electra</w:t>
            </w:r>
            <w:proofErr w:type="spellEnd"/>
            <w:r w:rsidR="006F1060" w:rsidRPr="00C6647A">
              <w:rPr>
                <w:rFonts w:cstheme="minorHAnsi"/>
                <w:bCs/>
                <w:sz w:val="20"/>
                <w:szCs w:val="20"/>
              </w:rPr>
              <w:t xml:space="preserve"> </w:t>
            </w:r>
            <w:proofErr w:type="spellStart"/>
            <w:r w:rsidR="006F1060" w:rsidRPr="00C6647A">
              <w:rPr>
                <w:rFonts w:cstheme="minorHAnsi"/>
                <w:bCs/>
                <w:sz w:val="20"/>
                <w:szCs w:val="20"/>
              </w:rPr>
              <w:t>comples</w:t>
            </w:r>
            <w:proofErr w:type="spellEnd"/>
            <w:r w:rsidR="006F1060" w:rsidRPr="00C6647A">
              <w:rPr>
                <w:rFonts w:cstheme="minorHAnsi"/>
                <w:bCs/>
                <w:sz w:val="20"/>
                <w:szCs w:val="20"/>
              </w:rPr>
              <w:t xml:space="preserve">, identification, </w:t>
            </w:r>
            <w:proofErr w:type="spellStart"/>
            <w:r w:rsidR="006F1060" w:rsidRPr="00C6647A">
              <w:rPr>
                <w:rFonts w:cstheme="minorHAnsi"/>
                <w:bCs/>
                <w:sz w:val="20"/>
                <w:szCs w:val="20"/>
              </w:rPr>
              <w:t>internalisation</w:t>
            </w:r>
            <w:proofErr w:type="spellEnd"/>
            <w:r w:rsidR="006F1060" w:rsidRPr="00C6647A">
              <w:rPr>
                <w:rFonts w:cstheme="minorHAnsi"/>
                <w:bCs/>
                <w:sz w:val="20"/>
                <w:szCs w:val="20"/>
              </w:rPr>
              <w:t>, gender identity.</w:t>
            </w:r>
          </w:p>
          <w:p w14:paraId="5EC4FA08" w14:textId="77777777" w:rsidR="00354401" w:rsidRDefault="00354401" w:rsidP="00354401">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predictions – many hooks/ starters include asking what do we already know about this topic. Opportunity to summarize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write down the main points of an argument/ theory. Questioners – does the text raise any questions, group work as an opportunity to discuss. Connectors – can the text be linked to any theories (either for or against). Opportunity to clarify – discussion of any words or </w:t>
            </w:r>
            <w:proofErr w:type="gramStart"/>
            <w:r>
              <w:rPr>
                <w:rFonts w:ascii="Twinkl" w:hAnsi="Twinkl"/>
                <w:bCs/>
                <w:sz w:val="20"/>
                <w:szCs w:val="20"/>
              </w:rPr>
              <w:t>ideas  that</w:t>
            </w:r>
            <w:proofErr w:type="gramEnd"/>
            <w:r>
              <w:rPr>
                <w:rFonts w:ascii="Twinkl" w:hAnsi="Twinkl"/>
                <w:bCs/>
                <w:sz w:val="20"/>
                <w:szCs w:val="20"/>
              </w:rPr>
              <w:t xml:space="preserve"> the student didn’t understand.</w:t>
            </w:r>
            <w:r>
              <w:rPr>
                <w:rFonts w:ascii="Twinkl" w:hAnsi="Twinkl"/>
                <w:b/>
                <w:sz w:val="20"/>
                <w:szCs w:val="20"/>
              </w:rPr>
              <w:t xml:space="preserve"> </w:t>
            </w:r>
          </w:p>
          <w:p w14:paraId="45B8FF6A" w14:textId="77777777" w:rsidR="00354401" w:rsidRDefault="00354401" w:rsidP="00354401">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8/ </w:t>
            </w:r>
            <w:proofErr w:type="gramStart"/>
            <w:r>
              <w:rPr>
                <w:rFonts w:ascii="Twinkl" w:hAnsi="Twinkl"/>
                <w:bCs/>
                <w:sz w:val="20"/>
                <w:szCs w:val="20"/>
              </w:rPr>
              <w:t>16 mark</w:t>
            </w:r>
            <w:proofErr w:type="gramEnd"/>
            <w:r>
              <w:rPr>
                <w:rFonts w:ascii="Twinkl" w:hAnsi="Twinkl"/>
                <w:bCs/>
                <w:sz w:val="20"/>
                <w:szCs w:val="20"/>
              </w:rPr>
              <w:t xml:space="preserve"> essays. Students are required to show knowledge which should link to key psychological terminology, application which should integrate fully with the stem and </w:t>
            </w:r>
            <w:proofErr w:type="gramStart"/>
            <w:r>
              <w:rPr>
                <w:rFonts w:ascii="Twinkl" w:hAnsi="Twinkl"/>
                <w:bCs/>
                <w:sz w:val="20"/>
                <w:szCs w:val="20"/>
              </w:rPr>
              <w:t>an</w:t>
            </w:r>
            <w:proofErr w:type="gramEnd"/>
            <w:r>
              <w:rPr>
                <w:rFonts w:ascii="Twinkl" w:hAnsi="Twinkl"/>
                <w:bCs/>
                <w:sz w:val="20"/>
                <w:szCs w:val="20"/>
              </w:rPr>
              <w:t xml:space="preserve"> critical analysis and discussion when evaluating. </w:t>
            </w:r>
          </w:p>
          <w:p w14:paraId="1AB73E31" w14:textId="73F40E2A" w:rsidR="005913F3" w:rsidRPr="00B02EC1" w:rsidRDefault="00354401" w:rsidP="00354401">
            <w:pPr>
              <w:autoSpaceDE w:val="0"/>
              <w:autoSpaceDN w:val="0"/>
              <w:adjustRightInd w:val="0"/>
              <w:rPr>
                <w:rFonts w:ascii="Twinkl" w:hAnsi="Twinkl"/>
                <w:b/>
                <w:sz w:val="20"/>
                <w:szCs w:val="20"/>
              </w:rPr>
            </w:pPr>
            <w:r>
              <w:rPr>
                <w:rFonts w:ascii="Twinkl" w:hAnsi="Twinkl"/>
                <w:b/>
                <w:sz w:val="20"/>
                <w:szCs w:val="20"/>
              </w:rPr>
              <w:t xml:space="preserve">Oracy: </w:t>
            </w:r>
            <w:r>
              <w:rPr>
                <w:rFonts w:ascii="Twinkl" w:hAnsi="Twinkl"/>
                <w:bCs/>
                <w:sz w:val="20"/>
                <w:szCs w:val="20"/>
              </w:rPr>
              <w:t xml:space="preserve">group work in the majority of lessons, think pair share activities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a debate on the role of </w:t>
            </w:r>
            <w:r w:rsidR="00D40B17">
              <w:rPr>
                <w:rFonts w:ascii="Twinkl" w:hAnsi="Twinkl"/>
                <w:bCs/>
                <w:sz w:val="20"/>
                <w:szCs w:val="20"/>
              </w:rPr>
              <w:t xml:space="preserve">nature vs nurture in determining ones gender. </w:t>
            </w:r>
          </w:p>
        </w:tc>
      </w:tr>
      <w:tr w:rsidR="002D5DFE" w:rsidRPr="00D83AA3" w14:paraId="55B110B1" w14:textId="77777777" w:rsidTr="081AEE39">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4763D88C" w14:textId="77777777" w:rsidR="00FA5E86" w:rsidRPr="00653388" w:rsidRDefault="00FA5E86" w:rsidP="00FA5E86">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5C7742BB" w14:textId="77777777" w:rsidR="00FA5E86" w:rsidRPr="00653388" w:rsidRDefault="00FA5E86" w:rsidP="00FA5E86">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w:t>
            </w:r>
            <w:proofErr w:type="gramStart"/>
            <w:r w:rsidRPr="00653388">
              <w:rPr>
                <w:rFonts w:cstheme="minorHAnsi"/>
                <w:color w:val="121212"/>
                <w:sz w:val="20"/>
                <w:szCs w:val="20"/>
                <w:shd w:val="clear" w:color="auto" w:fill="FFFFFF"/>
              </w:rPr>
              <w:t>communication</w:t>
            </w:r>
            <w:proofErr w:type="gramEnd"/>
            <w:r w:rsidRPr="00653388">
              <w:rPr>
                <w:rFonts w:cstheme="minorHAnsi"/>
                <w:color w:val="121212"/>
                <w:sz w:val="20"/>
                <w:szCs w:val="20"/>
                <w:shd w:val="clear" w:color="auto" w:fill="FFFFFF"/>
              </w:rPr>
              <w:t xml:space="preserve"> and the ability to work productively in teams. It also gives an understanding of the human mind and behaviour and so any employment would use these skills as all employment involves working with others in some aspect or another. </w:t>
            </w:r>
          </w:p>
          <w:p w14:paraId="78BBBF91" w14:textId="1DFE7F3C"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081AEE39">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66412F58" w14:textId="77777777" w:rsidR="00566954" w:rsidRPr="00653388" w:rsidRDefault="00566954" w:rsidP="00566954">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6DC231DC" w14:textId="77777777" w:rsidR="00566954" w:rsidRPr="00653388" w:rsidRDefault="00566954" w:rsidP="00566954">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47E5FD65" w14:textId="77777777"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xml:space="preserve">: by providing different levels of supervision and </w:t>
            </w:r>
            <w:proofErr w:type="gramStart"/>
            <w:r w:rsidRPr="00B02EC1">
              <w:rPr>
                <w:rStyle w:val="normaltextrun"/>
                <w:rFonts w:ascii="Twinkl" w:hAnsi="Twinkl" w:cs="Arial"/>
                <w:color w:val="000000"/>
                <w:sz w:val="20"/>
                <w:szCs w:val="20"/>
                <w:shd w:val="clear" w:color="auto" w:fill="FFFFFF"/>
              </w:rPr>
              <w:t>support</w:t>
            </w:r>
            <w:proofErr w:type="gramEnd"/>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081AEE39">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081AEE39">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9370"/>
            </w:tblGrid>
            <w:tr w:rsidR="00D94073" w:rsidRPr="00D94073" w14:paraId="6A79D15E"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7E36A81"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Know the difference between sex and gender</w:t>
                  </w:r>
                </w:p>
              </w:tc>
            </w:tr>
            <w:tr w:rsidR="00D94073" w:rsidRPr="00D94073" w14:paraId="71106666"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E6202C0"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Understand sex-role stereotypes</w:t>
                  </w:r>
                </w:p>
              </w:tc>
            </w:tr>
            <w:tr w:rsidR="00D94073" w:rsidRPr="00D94073" w14:paraId="21811AD0"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1D35516A"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 xml:space="preserve">Understand what Androgyny is and measuring androgyny including the </w:t>
                  </w:r>
                  <w:proofErr w:type="spellStart"/>
                  <w:r w:rsidRPr="00D94073">
                    <w:rPr>
                      <w:rFonts w:ascii="Calibri" w:eastAsia="Times New Roman" w:hAnsi="Calibri" w:cs="Calibri"/>
                      <w:color w:val="000000"/>
                      <w:lang w:val="en-GB" w:eastAsia="en-GB"/>
                    </w:rPr>
                    <w:t>Bem</w:t>
                  </w:r>
                  <w:proofErr w:type="spellEnd"/>
                  <w:r w:rsidRPr="00D94073">
                    <w:rPr>
                      <w:rFonts w:ascii="Calibri" w:eastAsia="Times New Roman" w:hAnsi="Calibri" w:cs="Calibri"/>
                      <w:color w:val="000000"/>
                      <w:lang w:val="en-GB" w:eastAsia="en-GB"/>
                    </w:rPr>
                    <w:t xml:space="preserve"> Sex Role Inventory</w:t>
                  </w:r>
                </w:p>
              </w:tc>
            </w:tr>
            <w:tr w:rsidR="00D94073" w:rsidRPr="00D94073" w14:paraId="04CF79F8"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70EE6617"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 xml:space="preserve">Know the role of chromosomes and hormones (testosterone, </w:t>
                  </w:r>
                  <w:proofErr w:type="gramStart"/>
                  <w:r w:rsidRPr="00D94073">
                    <w:rPr>
                      <w:rFonts w:ascii="Calibri" w:eastAsia="Times New Roman" w:hAnsi="Calibri" w:cs="Calibri"/>
                      <w:color w:val="000000"/>
                      <w:lang w:val="en-GB" w:eastAsia="en-GB"/>
                    </w:rPr>
                    <w:t>oestrogen</w:t>
                  </w:r>
                  <w:proofErr w:type="gramEnd"/>
                  <w:r w:rsidRPr="00D94073">
                    <w:rPr>
                      <w:rFonts w:ascii="Calibri" w:eastAsia="Times New Roman" w:hAnsi="Calibri" w:cs="Calibri"/>
                      <w:color w:val="000000"/>
                      <w:lang w:val="en-GB" w:eastAsia="en-GB"/>
                    </w:rPr>
                    <w:t xml:space="preserve"> and oxytocin) in sex and gender</w:t>
                  </w:r>
                </w:p>
              </w:tc>
            </w:tr>
            <w:tr w:rsidR="00D94073" w:rsidRPr="00D94073" w14:paraId="1C2989A5"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2686CB14"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atypical sex chromosome patterns in Klinefelter’s syndrome</w:t>
                  </w:r>
                </w:p>
              </w:tc>
            </w:tr>
            <w:tr w:rsidR="00D94073" w:rsidRPr="00D94073" w14:paraId="07D8142E"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00924E72"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atypical sex chromosome patterns in Turner’s syndrome</w:t>
                  </w:r>
                </w:p>
              </w:tc>
            </w:tr>
            <w:tr w:rsidR="00D94073" w:rsidRPr="00D94073" w14:paraId="741A0706"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078AD500"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and evaluate the cognitive explanations of gender development, Kohlberg’s theory, gender identity, gender stability and gender constancy</w:t>
                  </w:r>
                </w:p>
              </w:tc>
            </w:tr>
            <w:tr w:rsidR="00D94073" w:rsidRPr="00D94073" w14:paraId="16137367"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58C6535"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and evaluate the cognitive explanations of gender development, gender schema theory.</w:t>
                  </w:r>
                </w:p>
              </w:tc>
            </w:tr>
            <w:tr w:rsidR="00D94073" w:rsidRPr="00D94073" w14:paraId="23BEB867" w14:textId="77777777" w:rsidTr="00D94073">
              <w:trPr>
                <w:trHeight w:val="600"/>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033F0565"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psychodynamic explanation of gender development, Freud’s psychoanalytic theory, Oedipus complex; Electra complex; identification and internalisation.</w:t>
                  </w:r>
                </w:p>
              </w:tc>
            </w:tr>
            <w:tr w:rsidR="00D94073" w:rsidRPr="00D94073" w14:paraId="4B48C67E" w14:textId="77777777" w:rsidTr="00D94073">
              <w:trPr>
                <w:trHeight w:val="600"/>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66B5108C"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Discuss social learning theory as applied to gender development. The influence of culture and media on gender roles.</w:t>
                  </w:r>
                </w:p>
              </w:tc>
            </w:tr>
            <w:tr w:rsidR="00D94073" w:rsidRPr="00D94073" w14:paraId="3A0F911B" w14:textId="77777777" w:rsidTr="00D94073">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41F39E60" w14:textId="77777777" w:rsidR="00D94073" w:rsidRPr="00D94073" w:rsidRDefault="00D94073" w:rsidP="00A21F79">
                  <w:pPr>
                    <w:framePr w:hSpace="180" w:wrap="around" w:vAnchor="page" w:hAnchor="margin" w:y="541"/>
                    <w:rPr>
                      <w:rFonts w:ascii="Calibri" w:eastAsia="Times New Roman" w:hAnsi="Calibri" w:cs="Calibri"/>
                      <w:color w:val="000000"/>
                      <w:lang w:val="en-GB" w:eastAsia="en-GB"/>
                    </w:rPr>
                  </w:pPr>
                  <w:r w:rsidRPr="00D94073">
                    <w:rPr>
                      <w:rFonts w:ascii="Calibri" w:eastAsia="Times New Roman" w:hAnsi="Calibri" w:cs="Calibri"/>
                      <w:color w:val="000000"/>
                      <w:lang w:val="en-GB" w:eastAsia="en-GB"/>
                    </w:rPr>
                    <w:t>Understand atypical gender development: gender identity disorder; biological and social explanations for gender identity disorder.</w:t>
                  </w:r>
                </w:p>
              </w:tc>
            </w:tr>
          </w:tbl>
          <w:p w14:paraId="63929185"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081AEE39">
        <w:trPr>
          <w:trHeight w:val="1760"/>
        </w:trPr>
        <w:tc>
          <w:tcPr>
            <w:tcW w:w="2100" w:type="dxa"/>
            <w:shd w:val="clear" w:color="auto" w:fill="BFBFBF" w:themeFill="background1" w:themeFillShade="BF"/>
            <w:vAlign w:val="center"/>
          </w:tcPr>
          <w:p w14:paraId="0C603DF1" w14:textId="067AE454" w:rsidR="00BA02B9" w:rsidRPr="00D83AA3" w:rsidRDefault="00BA02B9" w:rsidP="11F9128B">
            <w:pPr>
              <w:jc w:val="center"/>
              <w:rPr>
                <w:rFonts w:ascii="Twinkl" w:hAnsi="Twinkl"/>
                <w:b/>
                <w:bCs/>
              </w:rPr>
            </w:pPr>
            <w:r w:rsidRPr="11F9128B">
              <w:rPr>
                <w:rFonts w:ascii="Twinkl" w:hAnsi="Twinkl"/>
                <w:b/>
                <w:bCs/>
              </w:rPr>
              <w:t xml:space="preserve">Learning Outcomes </w:t>
            </w:r>
          </w:p>
          <w:p w14:paraId="478A3447" w14:textId="1963E87D" w:rsidR="00BA02B9" w:rsidRPr="00D83AA3" w:rsidRDefault="00BA02B9" w:rsidP="11F9128B">
            <w:pPr>
              <w:jc w:val="center"/>
              <w:rPr>
                <w:rFonts w:ascii="Twinkl" w:hAnsi="Twinkl"/>
                <w:b/>
                <w:bCs/>
              </w:rPr>
            </w:pPr>
          </w:p>
          <w:p w14:paraId="53630CF6" w14:textId="794E1AEB" w:rsidR="00BA02B9" w:rsidRPr="00D83AA3" w:rsidRDefault="759CA4BD" w:rsidP="11F9128B">
            <w:pPr>
              <w:jc w:val="center"/>
              <w:rPr>
                <w:rFonts w:ascii="Twinkl" w:eastAsia="Twinkl" w:hAnsi="Twinkl" w:cs="Twinkl"/>
              </w:rPr>
            </w:pPr>
            <w:r w:rsidRPr="11F9128B">
              <w:rPr>
                <w:rFonts w:ascii="Twinkl" w:eastAsia="Twinkl" w:hAnsi="Twinkl" w:cs="Twinkl"/>
                <w:b/>
                <w:bCs/>
                <w:color w:val="000000" w:themeColor="text1"/>
              </w:rPr>
              <w:t>(</w:t>
            </w:r>
            <w:r w:rsidR="00A21F79">
              <w:rPr>
                <w:rFonts w:ascii="Twinkl" w:eastAsia="Twinkl" w:hAnsi="Twinkl" w:cs="Twinkl"/>
                <w:b/>
                <w:bCs/>
                <w:color w:val="000000" w:themeColor="text1"/>
              </w:rPr>
              <w:t xml:space="preserve">Core </w:t>
            </w:r>
            <w:r w:rsidRPr="11F9128B">
              <w:rPr>
                <w:rFonts w:ascii="Calibri" w:eastAsia="Calibri" w:hAnsi="Calibri" w:cs="Calibri"/>
                <w:b/>
                <w:bCs/>
                <w:color w:val="000000" w:themeColor="text1"/>
              </w:rPr>
              <w:t>knowledge)</w:t>
            </w:r>
          </w:p>
          <w:p w14:paraId="1AC9017D" w14:textId="4F0E9783" w:rsidR="00BA02B9" w:rsidRPr="00D83AA3" w:rsidRDefault="00BA02B9" w:rsidP="11F9128B">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081AEE39">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0BB7DDC6" w:rsidR="0071084E" w:rsidRPr="0003761B" w:rsidRDefault="0003761B" w:rsidP="0003761B">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Revision and practice papers. </w:t>
            </w:r>
            <w:r w:rsidR="00CE036B">
              <w:rPr>
                <w:rFonts w:ascii="Twinkl" w:eastAsia="Times New Roman" w:hAnsi="Twinkl" w:cstheme="minorHAnsi"/>
                <w:sz w:val="20"/>
                <w:szCs w:val="20"/>
                <w:lang w:val="en-GB" w:eastAsia="en-GB"/>
              </w:rPr>
              <w:t xml:space="preserve">Students are nearing the end of their learning and will begin to think of issues and debates that can be used alongside the gender topic. </w:t>
            </w:r>
          </w:p>
        </w:tc>
      </w:tr>
      <w:tr w:rsidR="00FD68A4" w:rsidRPr="00D83AA3" w14:paraId="3B89946A" w14:textId="77777777" w:rsidTr="081AEE39">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081AEE39">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lastRenderedPageBreak/>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812E6" w14:textId="77777777" w:rsidR="003F7C47" w:rsidRDefault="003F7C47" w:rsidP="00C40517">
      <w:r>
        <w:separator/>
      </w:r>
    </w:p>
  </w:endnote>
  <w:endnote w:type="continuationSeparator" w:id="0">
    <w:p w14:paraId="18310814" w14:textId="77777777" w:rsidR="003F7C47" w:rsidRDefault="003F7C47" w:rsidP="00C40517">
      <w:r>
        <w:continuationSeparator/>
      </w:r>
    </w:p>
  </w:endnote>
  <w:endnote w:type="continuationNotice" w:id="1">
    <w:p w14:paraId="6F8A875B" w14:textId="77777777" w:rsidR="003F7C47" w:rsidRDefault="003F7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5C528" w14:textId="77777777" w:rsidR="003F7C47" w:rsidRDefault="003F7C47" w:rsidP="00C40517">
      <w:r>
        <w:separator/>
      </w:r>
    </w:p>
  </w:footnote>
  <w:footnote w:type="continuationSeparator" w:id="0">
    <w:p w14:paraId="66BE418E" w14:textId="77777777" w:rsidR="003F7C47" w:rsidRDefault="003F7C47" w:rsidP="00C40517">
      <w:r>
        <w:continuationSeparator/>
      </w:r>
    </w:p>
  </w:footnote>
  <w:footnote w:type="continuationNotice" w:id="1">
    <w:p w14:paraId="2BB81FE1" w14:textId="77777777" w:rsidR="003F7C47" w:rsidRDefault="003F7C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564503"/>
    <w:multiLevelType w:val="multilevel"/>
    <w:tmpl w:val="AF7C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9971735">
    <w:abstractNumId w:val="4"/>
  </w:num>
  <w:num w:numId="2" w16cid:durableId="1583638178">
    <w:abstractNumId w:val="2"/>
  </w:num>
  <w:num w:numId="3" w16cid:durableId="1877695926">
    <w:abstractNumId w:val="33"/>
  </w:num>
  <w:num w:numId="4" w16cid:durableId="1886259091">
    <w:abstractNumId w:val="38"/>
  </w:num>
  <w:num w:numId="5" w16cid:durableId="1781803152">
    <w:abstractNumId w:val="11"/>
  </w:num>
  <w:num w:numId="6" w16cid:durableId="539515795">
    <w:abstractNumId w:val="17"/>
  </w:num>
  <w:num w:numId="7" w16cid:durableId="1513103255">
    <w:abstractNumId w:val="32"/>
  </w:num>
  <w:num w:numId="8" w16cid:durableId="1826120073">
    <w:abstractNumId w:val="14"/>
  </w:num>
  <w:num w:numId="9" w16cid:durableId="707225060">
    <w:abstractNumId w:val="26"/>
  </w:num>
  <w:num w:numId="10" w16cid:durableId="1177843486">
    <w:abstractNumId w:val="0"/>
  </w:num>
  <w:num w:numId="11" w16cid:durableId="953485533">
    <w:abstractNumId w:val="37"/>
  </w:num>
  <w:num w:numId="12" w16cid:durableId="625934346">
    <w:abstractNumId w:val="12"/>
  </w:num>
  <w:num w:numId="13" w16cid:durableId="2041776205">
    <w:abstractNumId w:val="34"/>
  </w:num>
  <w:num w:numId="14" w16cid:durableId="295337691">
    <w:abstractNumId w:val="7"/>
  </w:num>
  <w:num w:numId="15" w16cid:durableId="1984115186">
    <w:abstractNumId w:val="35"/>
  </w:num>
  <w:num w:numId="16" w16cid:durableId="412624189">
    <w:abstractNumId w:val="19"/>
  </w:num>
  <w:num w:numId="17" w16cid:durableId="1475870829">
    <w:abstractNumId w:val="10"/>
  </w:num>
  <w:num w:numId="18" w16cid:durableId="1290940476">
    <w:abstractNumId w:val="22"/>
  </w:num>
  <w:num w:numId="19" w16cid:durableId="233202422">
    <w:abstractNumId w:val="36"/>
  </w:num>
  <w:num w:numId="20" w16cid:durableId="1161848096">
    <w:abstractNumId w:val="1"/>
  </w:num>
  <w:num w:numId="21" w16cid:durableId="99106638">
    <w:abstractNumId w:val="9"/>
  </w:num>
  <w:num w:numId="22" w16cid:durableId="1350330494">
    <w:abstractNumId w:val="15"/>
  </w:num>
  <w:num w:numId="23" w16cid:durableId="1297100976">
    <w:abstractNumId w:val="27"/>
  </w:num>
  <w:num w:numId="24" w16cid:durableId="465441084">
    <w:abstractNumId w:val="24"/>
  </w:num>
  <w:num w:numId="25" w16cid:durableId="1166241626">
    <w:abstractNumId w:val="3"/>
  </w:num>
  <w:num w:numId="26" w16cid:durableId="172381420">
    <w:abstractNumId w:val="30"/>
  </w:num>
  <w:num w:numId="27" w16cid:durableId="324482473">
    <w:abstractNumId w:val="18"/>
  </w:num>
  <w:num w:numId="28" w16cid:durableId="1441988810">
    <w:abstractNumId w:val="31"/>
  </w:num>
  <w:num w:numId="29" w16cid:durableId="1610625010">
    <w:abstractNumId w:val="6"/>
  </w:num>
  <w:num w:numId="30" w16cid:durableId="617226078">
    <w:abstractNumId w:val="5"/>
  </w:num>
  <w:num w:numId="31" w16cid:durableId="1125008010">
    <w:abstractNumId w:val="28"/>
  </w:num>
  <w:num w:numId="32" w16cid:durableId="1804999939">
    <w:abstractNumId w:val="13"/>
  </w:num>
  <w:num w:numId="33" w16cid:durableId="557326076">
    <w:abstractNumId w:val="8"/>
  </w:num>
  <w:num w:numId="34" w16cid:durableId="54013184">
    <w:abstractNumId w:val="20"/>
  </w:num>
  <w:num w:numId="35" w16cid:durableId="603391611">
    <w:abstractNumId w:val="29"/>
  </w:num>
  <w:num w:numId="36" w16cid:durableId="231038547">
    <w:abstractNumId w:val="23"/>
  </w:num>
  <w:num w:numId="37" w16cid:durableId="1636716791">
    <w:abstractNumId w:val="39"/>
  </w:num>
  <w:num w:numId="38" w16cid:durableId="1694260697">
    <w:abstractNumId w:val="25"/>
  </w:num>
  <w:num w:numId="39" w16cid:durableId="1844511021">
    <w:abstractNumId w:val="21"/>
  </w:num>
  <w:num w:numId="40" w16cid:durableId="44959028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3761B"/>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0F7748"/>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070F"/>
    <w:rsid w:val="001B505F"/>
    <w:rsid w:val="001B600C"/>
    <w:rsid w:val="001C02FD"/>
    <w:rsid w:val="001C1E29"/>
    <w:rsid w:val="001C2B59"/>
    <w:rsid w:val="001C527B"/>
    <w:rsid w:val="001D149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055"/>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B1863"/>
    <w:rsid w:val="002B1D9D"/>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4252C"/>
    <w:rsid w:val="003501FF"/>
    <w:rsid w:val="00351C8C"/>
    <w:rsid w:val="00353255"/>
    <w:rsid w:val="00354401"/>
    <w:rsid w:val="0036005A"/>
    <w:rsid w:val="00361053"/>
    <w:rsid w:val="0036480A"/>
    <w:rsid w:val="00365F74"/>
    <w:rsid w:val="00371884"/>
    <w:rsid w:val="003740DC"/>
    <w:rsid w:val="003757D5"/>
    <w:rsid w:val="00380E4A"/>
    <w:rsid w:val="00380FED"/>
    <w:rsid w:val="00387EAA"/>
    <w:rsid w:val="003A43AE"/>
    <w:rsid w:val="003A5231"/>
    <w:rsid w:val="003A6154"/>
    <w:rsid w:val="003A6607"/>
    <w:rsid w:val="003B2F64"/>
    <w:rsid w:val="003B4C75"/>
    <w:rsid w:val="003B4EB6"/>
    <w:rsid w:val="003C1B98"/>
    <w:rsid w:val="003C3EC5"/>
    <w:rsid w:val="003C7CA1"/>
    <w:rsid w:val="003D3535"/>
    <w:rsid w:val="003D6370"/>
    <w:rsid w:val="003E3FC6"/>
    <w:rsid w:val="003F0557"/>
    <w:rsid w:val="003F7C4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2B05"/>
    <w:rsid w:val="00483BC5"/>
    <w:rsid w:val="00485490"/>
    <w:rsid w:val="00486A9D"/>
    <w:rsid w:val="00490521"/>
    <w:rsid w:val="00492331"/>
    <w:rsid w:val="00495F15"/>
    <w:rsid w:val="00496D25"/>
    <w:rsid w:val="004A2735"/>
    <w:rsid w:val="004A3A38"/>
    <w:rsid w:val="004B5011"/>
    <w:rsid w:val="004B7E71"/>
    <w:rsid w:val="004C0162"/>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6954"/>
    <w:rsid w:val="0056756D"/>
    <w:rsid w:val="00571269"/>
    <w:rsid w:val="005716EB"/>
    <w:rsid w:val="00575AA4"/>
    <w:rsid w:val="0058379D"/>
    <w:rsid w:val="0059075A"/>
    <w:rsid w:val="005913F3"/>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1FD7"/>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32D2"/>
    <w:rsid w:val="006B672F"/>
    <w:rsid w:val="006B6DED"/>
    <w:rsid w:val="006C45ED"/>
    <w:rsid w:val="006D02CD"/>
    <w:rsid w:val="006D13B2"/>
    <w:rsid w:val="006D2E0C"/>
    <w:rsid w:val="006D2EDB"/>
    <w:rsid w:val="006D58AC"/>
    <w:rsid w:val="006E0D54"/>
    <w:rsid w:val="006E1EDC"/>
    <w:rsid w:val="006E64C8"/>
    <w:rsid w:val="006F1060"/>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C7D63"/>
    <w:rsid w:val="007D1C6B"/>
    <w:rsid w:val="007D2906"/>
    <w:rsid w:val="007F5666"/>
    <w:rsid w:val="007F7E04"/>
    <w:rsid w:val="00806018"/>
    <w:rsid w:val="0081017F"/>
    <w:rsid w:val="008201F2"/>
    <w:rsid w:val="0082136A"/>
    <w:rsid w:val="00825FFB"/>
    <w:rsid w:val="00841168"/>
    <w:rsid w:val="00846BB4"/>
    <w:rsid w:val="00847457"/>
    <w:rsid w:val="0085348E"/>
    <w:rsid w:val="008569C3"/>
    <w:rsid w:val="00861EC2"/>
    <w:rsid w:val="00861F40"/>
    <w:rsid w:val="00861F87"/>
    <w:rsid w:val="00863797"/>
    <w:rsid w:val="00864E78"/>
    <w:rsid w:val="00873C76"/>
    <w:rsid w:val="00874180"/>
    <w:rsid w:val="0087625F"/>
    <w:rsid w:val="008855DE"/>
    <w:rsid w:val="0089225C"/>
    <w:rsid w:val="00892293"/>
    <w:rsid w:val="008947B7"/>
    <w:rsid w:val="008A0298"/>
    <w:rsid w:val="008A48F5"/>
    <w:rsid w:val="008A5A2D"/>
    <w:rsid w:val="008A66D5"/>
    <w:rsid w:val="008B6B4A"/>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25F3"/>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210C"/>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1F79"/>
    <w:rsid w:val="00A25119"/>
    <w:rsid w:val="00A25AA2"/>
    <w:rsid w:val="00A25C2B"/>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3751"/>
    <w:rsid w:val="00B74564"/>
    <w:rsid w:val="00B7505C"/>
    <w:rsid w:val="00B751E2"/>
    <w:rsid w:val="00B7591C"/>
    <w:rsid w:val="00B75A02"/>
    <w:rsid w:val="00B8634B"/>
    <w:rsid w:val="00B921F7"/>
    <w:rsid w:val="00B925AC"/>
    <w:rsid w:val="00BA02B9"/>
    <w:rsid w:val="00BA195F"/>
    <w:rsid w:val="00BA2B63"/>
    <w:rsid w:val="00BA3554"/>
    <w:rsid w:val="00BA45DC"/>
    <w:rsid w:val="00BA5398"/>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6647A"/>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036B"/>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0B17"/>
    <w:rsid w:val="00D42A4E"/>
    <w:rsid w:val="00D4639E"/>
    <w:rsid w:val="00D5107D"/>
    <w:rsid w:val="00D61612"/>
    <w:rsid w:val="00D63445"/>
    <w:rsid w:val="00D701C1"/>
    <w:rsid w:val="00D716A8"/>
    <w:rsid w:val="00D74E4F"/>
    <w:rsid w:val="00D80B59"/>
    <w:rsid w:val="00D83AA3"/>
    <w:rsid w:val="00D85601"/>
    <w:rsid w:val="00D91FA6"/>
    <w:rsid w:val="00D91FFC"/>
    <w:rsid w:val="00D94073"/>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69F"/>
    <w:rsid w:val="00E348B0"/>
    <w:rsid w:val="00E3511C"/>
    <w:rsid w:val="00E42EA0"/>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B2CB9"/>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A5E86"/>
    <w:rsid w:val="00FB1D9D"/>
    <w:rsid w:val="00FB42A4"/>
    <w:rsid w:val="00FB4AC1"/>
    <w:rsid w:val="00FB6E32"/>
    <w:rsid w:val="00FC4487"/>
    <w:rsid w:val="00FD240E"/>
    <w:rsid w:val="00FD68A4"/>
    <w:rsid w:val="00FE0F26"/>
    <w:rsid w:val="00FE111E"/>
    <w:rsid w:val="00FF0456"/>
    <w:rsid w:val="00FF5C39"/>
    <w:rsid w:val="00FF6CEC"/>
    <w:rsid w:val="081AEE39"/>
    <w:rsid w:val="11F9128B"/>
    <w:rsid w:val="375EAD7F"/>
    <w:rsid w:val="68E9B55F"/>
    <w:rsid w:val="759CA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108552843">
      <w:bodyDiv w:val="1"/>
      <w:marLeft w:val="0"/>
      <w:marRight w:val="0"/>
      <w:marTop w:val="0"/>
      <w:marBottom w:val="0"/>
      <w:divBdr>
        <w:top w:val="none" w:sz="0" w:space="0" w:color="auto"/>
        <w:left w:val="none" w:sz="0" w:space="0" w:color="auto"/>
        <w:bottom w:val="none" w:sz="0" w:space="0" w:color="auto"/>
        <w:right w:val="none" w:sz="0" w:space="0" w:color="auto"/>
      </w:divBdr>
    </w:div>
    <w:div w:id="213390222">
      <w:bodyDiv w:val="1"/>
      <w:marLeft w:val="0"/>
      <w:marRight w:val="0"/>
      <w:marTop w:val="0"/>
      <w:marBottom w:val="0"/>
      <w:divBdr>
        <w:top w:val="none" w:sz="0" w:space="0" w:color="auto"/>
        <w:left w:val="none" w:sz="0" w:space="0" w:color="auto"/>
        <w:bottom w:val="none" w:sz="0" w:space="0" w:color="auto"/>
        <w:right w:val="none" w:sz="0" w:space="0" w:color="auto"/>
      </w:divBdr>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502479872">
      <w:bodyDiv w:val="1"/>
      <w:marLeft w:val="0"/>
      <w:marRight w:val="0"/>
      <w:marTop w:val="0"/>
      <w:marBottom w:val="0"/>
      <w:divBdr>
        <w:top w:val="none" w:sz="0" w:space="0" w:color="auto"/>
        <w:left w:val="none" w:sz="0" w:space="0" w:color="auto"/>
        <w:bottom w:val="none" w:sz="0" w:space="0" w:color="auto"/>
        <w:right w:val="none" w:sz="0" w:space="0" w:color="auto"/>
      </w:divBdr>
    </w:div>
    <w:div w:id="504902142">
      <w:bodyDiv w:val="1"/>
      <w:marLeft w:val="0"/>
      <w:marRight w:val="0"/>
      <w:marTop w:val="0"/>
      <w:marBottom w:val="0"/>
      <w:divBdr>
        <w:top w:val="none" w:sz="0" w:space="0" w:color="auto"/>
        <w:left w:val="none" w:sz="0" w:space="0" w:color="auto"/>
        <w:bottom w:val="none" w:sz="0" w:space="0" w:color="auto"/>
        <w:right w:val="none" w:sz="0" w:space="0" w:color="auto"/>
      </w:divBdr>
    </w:div>
    <w:div w:id="562176454">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026393703">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 w:id="2128499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16051BB1-AB0A-4703-9441-D78C5D6DE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6981</Characters>
  <Application>Microsoft Office Word</Application>
  <DocSecurity>0</DocSecurity>
  <Lines>58</Lines>
  <Paragraphs>16</Paragraphs>
  <ScaleCrop>false</ScaleCrop>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38</cp:revision>
  <cp:lastPrinted>2022-01-21T12:35:00Z</cp:lastPrinted>
  <dcterms:created xsi:type="dcterms:W3CDTF">2022-02-16T11:47:00Z</dcterms:created>
  <dcterms:modified xsi:type="dcterms:W3CDTF">2023-06-10T11:01:00Z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