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59606545" w:rsidR="00E741AE" w:rsidRDefault="008D2005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0CC50DE3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1CB04BF5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252462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3512FC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E439E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3064D6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40F1749F" w:rsidR="000B7CC1" w:rsidRPr="003523F5" w:rsidRDefault="000B7CC1" w:rsidP="008D2005">
            <w:pPr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252462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</w:t>
            </w:r>
            <w:r w:rsidR="008D2005">
              <w:rPr>
                <w:rFonts w:asciiTheme="majorHAnsi" w:hAnsiTheme="majorHAnsi" w:cstheme="majorHAnsi"/>
                <w:b/>
                <w:sz w:val="36"/>
                <w:szCs w:val="40"/>
              </w:rPr>
              <w:t>–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</w:t>
            </w:r>
            <w:proofErr w:type="spellStart"/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>Globalisation</w:t>
            </w:r>
            <w:proofErr w:type="spellEnd"/>
            <w:r w:rsidR="008D2005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– Global industries &amp; companies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67EF52C4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Medium </w:t>
            </w:r>
            <w:r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Term Planning</w:t>
            </w:r>
            <w:r w:rsidR="00BA02B9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DE1B1C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–</w:t>
            </w:r>
            <w:r w:rsidR="00801634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7FD93B3C" w14:textId="58F03CA1" w:rsidR="000E1646" w:rsidRDefault="00A8374F" w:rsidP="00715AA2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7E0F5FEB" w14:textId="77777777" w:rsidR="008D2005" w:rsidRDefault="008D2005" w:rsidP="008D20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i</w:t>
            </w:r>
            <w:r w:rsidRPr="008D2005">
              <w:rPr>
                <w:sz w:val="18"/>
                <w:szCs w:val="18"/>
              </w:rPr>
              <w:t xml:space="preserve">mpact of MNCs on the local economy: </w:t>
            </w:r>
            <w:r>
              <w:rPr>
                <w:sz w:val="18"/>
                <w:szCs w:val="18"/>
              </w:rPr>
              <w:t>-</w:t>
            </w:r>
          </w:p>
          <w:p w14:paraId="13A64301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local </w:t>
            </w:r>
            <w:proofErr w:type="spellStart"/>
            <w:r w:rsidRPr="008D2005">
              <w:rPr>
                <w:sz w:val="18"/>
                <w:szCs w:val="18"/>
              </w:rPr>
              <w:t>labour</w:t>
            </w:r>
            <w:proofErr w:type="spellEnd"/>
            <w:r w:rsidRPr="008D2005">
              <w:rPr>
                <w:sz w:val="18"/>
                <w:szCs w:val="18"/>
              </w:rPr>
              <w:t>, wages, working conditions and job creation</w:t>
            </w:r>
          </w:p>
          <w:p w14:paraId="224B03BD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local businesses </w:t>
            </w:r>
          </w:p>
          <w:p w14:paraId="01ED9DEA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>the local community and environment</w:t>
            </w:r>
          </w:p>
          <w:p w14:paraId="063FD1A3" w14:textId="77777777" w:rsidR="008D2005" w:rsidRDefault="008D2005" w:rsidP="008D2005">
            <w:pPr>
              <w:pStyle w:val="ListParagraph"/>
              <w:autoSpaceDE w:val="0"/>
              <w:autoSpaceDN w:val="0"/>
              <w:adjustRightInd w:val="0"/>
              <w:ind w:left="756" w:hanging="7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i</w:t>
            </w:r>
            <w:r w:rsidRPr="008D2005">
              <w:rPr>
                <w:sz w:val="18"/>
                <w:szCs w:val="18"/>
              </w:rPr>
              <w:t>mpact of MNCs on the national economy:</w:t>
            </w:r>
          </w:p>
          <w:p w14:paraId="1B1526EC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FDI flows o balance of payments </w:t>
            </w:r>
          </w:p>
          <w:p w14:paraId="725829B4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8D2005">
              <w:rPr>
                <w:sz w:val="18"/>
                <w:szCs w:val="18"/>
              </w:rPr>
              <w:t xml:space="preserve">echnology and skills transfer </w:t>
            </w:r>
          </w:p>
          <w:p w14:paraId="562807EE" w14:textId="77777777" w:rsidR="008D2005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8D2005">
              <w:rPr>
                <w:sz w:val="18"/>
                <w:szCs w:val="18"/>
              </w:rPr>
              <w:t xml:space="preserve">onsumers o business culture </w:t>
            </w:r>
          </w:p>
          <w:p w14:paraId="365F9ED6" w14:textId="77777777" w:rsidR="00B3526D" w:rsidRPr="008D2005" w:rsidRDefault="008D2005" w:rsidP="008D2005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8D2005">
              <w:rPr>
                <w:sz w:val="18"/>
                <w:szCs w:val="18"/>
              </w:rPr>
              <w:t>ax revenues and transfer pricin</w:t>
            </w:r>
            <w:r>
              <w:rPr>
                <w:sz w:val="18"/>
                <w:szCs w:val="18"/>
              </w:rPr>
              <w:t>g</w:t>
            </w:r>
          </w:p>
          <w:p w14:paraId="0072FED5" w14:textId="77777777" w:rsidR="008D2005" w:rsidRDefault="008D2005" w:rsidP="008D200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What constitutes ethics:</w:t>
            </w:r>
          </w:p>
          <w:p w14:paraId="1102324E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Stakeholder conflicts </w:t>
            </w:r>
          </w:p>
          <w:p w14:paraId="05FCC505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>Pay and working conditions</w:t>
            </w:r>
          </w:p>
          <w:p w14:paraId="6DF1AEEE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>Environmental considerations</w:t>
            </w:r>
          </w:p>
          <w:p w14:paraId="4CDFAACF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8D2005">
              <w:rPr>
                <w:sz w:val="18"/>
                <w:szCs w:val="18"/>
              </w:rPr>
              <w:t xml:space="preserve">missions </w:t>
            </w:r>
          </w:p>
          <w:p w14:paraId="01D88926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D2005">
              <w:rPr>
                <w:sz w:val="18"/>
                <w:szCs w:val="18"/>
              </w:rPr>
              <w:t xml:space="preserve">aste disposal </w:t>
            </w:r>
          </w:p>
          <w:p w14:paraId="17A24D9B" w14:textId="77777777" w:rsidR="008D2005" w:rsidRPr="008D2005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Supply chain considerations: </w:t>
            </w:r>
            <w:r>
              <w:rPr>
                <w:sz w:val="18"/>
                <w:szCs w:val="18"/>
              </w:rPr>
              <w:t xml:space="preserve">- </w:t>
            </w:r>
            <w:r w:rsidRPr="008D2005">
              <w:rPr>
                <w:sz w:val="18"/>
                <w:szCs w:val="18"/>
              </w:rPr>
              <w:t xml:space="preserve">exploitation of </w:t>
            </w:r>
            <w:proofErr w:type="spellStart"/>
            <w:r w:rsidRPr="008D2005">
              <w:rPr>
                <w:sz w:val="18"/>
                <w:szCs w:val="18"/>
              </w:rPr>
              <w:t>labour</w:t>
            </w:r>
            <w:proofErr w:type="spellEnd"/>
            <w:r>
              <w:rPr>
                <w:sz w:val="18"/>
                <w:szCs w:val="18"/>
              </w:rPr>
              <w:t xml:space="preserve"> / </w:t>
            </w:r>
            <w:r w:rsidRPr="008D2005">
              <w:rPr>
                <w:sz w:val="18"/>
                <w:szCs w:val="18"/>
              </w:rPr>
              <w:t xml:space="preserve">child </w:t>
            </w:r>
            <w:proofErr w:type="spellStart"/>
            <w:r w:rsidRPr="008D2005">
              <w:rPr>
                <w:sz w:val="18"/>
                <w:szCs w:val="18"/>
              </w:rPr>
              <w:t>labour</w:t>
            </w:r>
            <w:proofErr w:type="spellEnd"/>
          </w:p>
          <w:p w14:paraId="2984F823" w14:textId="10B91606" w:rsidR="008D2005" w:rsidRPr="00170003" w:rsidRDefault="008D2005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8D2005">
              <w:rPr>
                <w:sz w:val="18"/>
                <w:szCs w:val="18"/>
              </w:rPr>
              <w:t xml:space="preserve">Marketing considerations: </w:t>
            </w:r>
            <w:r>
              <w:rPr>
                <w:sz w:val="18"/>
                <w:szCs w:val="18"/>
              </w:rPr>
              <w:t xml:space="preserve">- </w:t>
            </w:r>
            <w:r w:rsidRPr="008D2005">
              <w:rPr>
                <w:sz w:val="18"/>
                <w:szCs w:val="18"/>
              </w:rPr>
              <w:t>misleading product labelling</w:t>
            </w:r>
            <w:r>
              <w:rPr>
                <w:sz w:val="18"/>
                <w:szCs w:val="18"/>
              </w:rPr>
              <w:t xml:space="preserve"> /</w:t>
            </w:r>
            <w:r w:rsidRPr="008D2005">
              <w:rPr>
                <w:sz w:val="18"/>
                <w:szCs w:val="18"/>
              </w:rPr>
              <w:t xml:space="preserve"> inappropriate promotional activitie</w:t>
            </w:r>
            <w:r>
              <w:rPr>
                <w:sz w:val="18"/>
                <w:szCs w:val="18"/>
              </w:rPr>
              <w:t>s</w:t>
            </w:r>
          </w:p>
          <w:p w14:paraId="278E94E3" w14:textId="296FB082" w:rsidR="00170003" w:rsidRPr="00170003" w:rsidRDefault="00170003" w:rsidP="00170003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How MNCs can be controlled – </w:t>
            </w:r>
          </w:p>
          <w:p w14:paraId="6A134BD7" w14:textId="7CF7341E" w:rsidR="00170003" w:rsidRDefault="00170003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Political influence</w:t>
            </w:r>
          </w:p>
          <w:p w14:paraId="32975ADC" w14:textId="4682513D" w:rsidR="00170003" w:rsidRDefault="00170003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Legal control</w:t>
            </w:r>
          </w:p>
          <w:p w14:paraId="10737711" w14:textId="404C1C6C" w:rsidR="00170003" w:rsidRDefault="00170003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Pressure groups</w:t>
            </w:r>
          </w:p>
          <w:p w14:paraId="42EB36B9" w14:textId="5F22A421" w:rsidR="00170003" w:rsidRDefault="00170003" w:rsidP="008D200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Social media</w:t>
            </w:r>
          </w:p>
          <w:p w14:paraId="4EFF6991" w14:textId="1A5017E7" w:rsidR="00C63FD5" w:rsidRDefault="00C63FD5" w:rsidP="00C63FD5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DB1BB28" w14:textId="2E5173D9" w:rsidR="00C63FD5" w:rsidRPr="00C63FD5" w:rsidRDefault="00C63FD5" w:rsidP="00C63FD5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C63FD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CATCH UP AND REVISION</w:t>
            </w:r>
          </w:p>
          <w:p w14:paraId="489746C4" w14:textId="30E703AE" w:rsidR="008D2005" w:rsidRPr="008D2005" w:rsidRDefault="008D2005" w:rsidP="008D2005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36438FCB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</w:t>
            </w:r>
            <w:r w:rsidR="008D2005">
              <w:rPr>
                <w:rFonts w:asciiTheme="majorHAnsi" w:hAnsiTheme="majorHAnsi" w:cstheme="majorHAnsi"/>
                <w:b/>
                <w:sz w:val="20"/>
                <w:szCs w:val="20"/>
              </w:rPr>
              <w:t>s to understand the impact of MNCs, Ethics and Controlling MNCs.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61A7D246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SMSC</w:t>
            </w:r>
            <w:r w:rsidRPr="00AC6F46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r w:rsidR="00AC6F46" w:rsidRPr="00AC6F46">
              <w:rPr>
                <w:rFonts w:asciiTheme="majorHAnsi" w:hAnsiTheme="majorHAnsi" w:cstheme="majorHAnsi"/>
                <w:sz w:val="16"/>
                <w:szCs w:val="16"/>
              </w:rPr>
              <w:t xml:space="preserve">Awareness of </w:t>
            </w:r>
            <w:r w:rsidR="008D2005">
              <w:rPr>
                <w:rFonts w:asciiTheme="majorHAnsi" w:hAnsiTheme="majorHAnsi" w:cstheme="majorHAnsi"/>
                <w:sz w:val="16"/>
                <w:szCs w:val="16"/>
              </w:rPr>
              <w:t xml:space="preserve">the exploitation of children for </w:t>
            </w:r>
            <w:proofErr w:type="spellStart"/>
            <w:r w:rsidR="008D2005">
              <w:rPr>
                <w:rFonts w:asciiTheme="majorHAnsi" w:hAnsiTheme="majorHAnsi" w:cstheme="majorHAnsi"/>
                <w:sz w:val="16"/>
                <w:szCs w:val="16"/>
              </w:rPr>
              <w:t>labour</w:t>
            </w:r>
            <w:proofErr w:type="spellEnd"/>
            <w:r w:rsidR="008D2005">
              <w:rPr>
                <w:rFonts w:asciiTheme="majorHAnsi" w:hAnsiTheme="majorHAnsi" w:cstheme="majorHAnsi"/>
                <w:sz w:val="16"/>
                <w:szCs w:val="16"/>
              </w:rPr>
              <w:t xml:space="preserve"> and how business activity can affect climate change.</w:t>
            </w:r>
          </w:p>
          <w:p w14:paraId="574046A4" w14:textId="2B610383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: To </w:t>
            </w:r>
            <w:r w:rsidR="008D2005">
              <w:rPr>
                <w:rFonts w:asciiTheme="majorHAnsi" w:hAnsiTheme="majorHAnsi" w:cstheme="majorHAnsi"/>
                <w:sz w:val="16"/>
                <w:szCs w:val="16"/>
              </w:rPr>
              <w:t>gain an understanding of how pay and conditions varies in different countries.</w:t>
            </w:r>
          </w:p>
          <w:p w14:paraId="5A90F3DC" w14:textId="44EDD493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proofErr w:type="gramStart"/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D042E7">
              <w:rPr>
                <w:rFonts w:asciiTheme="majorHAnsi" w:hAnsiTheme="majorHAnsi" w:cstheme="majorHAnsi"/>
                <w:sz w:val="16"/>
                <w:szCs w:val="16"/>
              </w:rPr>
              <w:t xml:space="preserve"> -</w:t>
            </w:r>
            <w:proofErr w:type="gramEnd"/>
            <w:r w:rsidR="00D042E7">
              <w:rPr>
                <w:rFonts w:asciiTheme="majorHAnsi" w:hAnsiTheme="majorHAnsi" w:cstheme="majorHAnsi"/>
                <w:sz w:val="16"/>
                <w:szCs w:val="16"/>
              </w:rPr>
              <w:t xml:space="preserve"> conflict, pressure grou</w:t>
            </w:r>
            <w:r w:rsidR="00520E4E">
              <w:rPr>
                <w:rFonts w:asciiTheme="majorHAnsi" w:hAnsiTheme="majorHAnsi" w:cstheme="majorHAnsi"/>
                <w:sz w:val="16"/>
                <w:szCs w:val="16"/>
              </w:rPr>
              <w:t>ps, stakeholders, emissions, environment, supply chain</w:t>
            </w:r>
          </w:p>
          <w:p w14:paraId="46F64BFE" w14:textId="1DA5BA1D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A2187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="00520E4E" w:rsidRPr="00520E4E">
              <w:rPr>
                <w:rFonts w:asciiTheme="majorHAnsi" w:hAnsiTheme="majorHAnsi" w:cstheme="majorHAnsi"/>
                <w:sz w:val="16"/>
                <w:szCs w:val="16"/>
              </w:rPr>
              <w:t>figures relating to emissions and waste disposal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5C4BB2D" w:rsidR="0084013A" w:rsidRPr="0084013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84013A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the global market if you get a job working for a global organisation.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0B7D664E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>3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understand what is happening in the 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global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business world and how this can impact a business in either a positive / negative way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and the implications a business faces when trading on a global scale.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3F88C2C6" w14:textId="77777777" w:rsidR="00AC6F46" w:rsidRPr="00170003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</w:t>
            </w:r>
            <w:r w:rsidR="00170003"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Explain the impact of </w:t>
            </w:r>
            <w:proofErr w:type="spellStart"/>
            <w:r w:rsidR="00170003"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mnc's</w:t>
            </w:r>
            <w:proofErr w:type="spellEnd"/>
            <w:r w:rsidR="00170003"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on the local economy</w:t>
            </w:r>
            <w:r w:rsid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="00170003"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for example</w:t>
            </w:r>
            <w:r w:rsid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="00170003"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local labour, wages, working conditions and job creation. Impact on local businesses and the local community and environment. </w:t>
            </w:r>
          </w:p>
          <w:p w14:paraId="01A393E5" w14:textId="77777777" w:rsidR="00170003" w:rsidRPr="009C2E58" w:rsidRDefault="00170003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impact of </w:t>
            </w:r>
            <w:proofErr w:type="spellStart"/>
            <w:r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mnc's</w:t>
            </w:r>
            <w:proofErr w:type="spellEnd"/>
            <w:r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on the national economy for </w:t>
            </w:r>
            <w:proofErr w:type="gramStart"/>
            <w:r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example ,</w:t>
            </w:r>
            <w:proofErr w:type="gramEnd"/>
            <w:r w:rsidRPr="0017000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FDI flows, balance of payments, technology and skills transfer, consumers, business culture, </w:t>
            </w:r>
            <w:r w:rsidR="009C2E58"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tax revenues and transfer pricing. </w:t>
            </w:r>
          </w:p>
          <w:p w14:paraId="03F62C5A" w14:textId="77777777" w:rsidR="009C2E58" w:rsidRPr="009C2E58" w:rsidRDefault="009C2E58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discuss all the issues relating to ethics. For example stakeholder conflicts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-</w:t>
            </w: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pay and working conditions, environmental considerations such as emissions and waste disposal , supply chain considerations such as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child </w:t>
            </w: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exploitation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. </w:t>
            </w: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Marketing considerations such as misleading product labelling and inappropriate promotional activities. </w:t>
            </w:r>
          </w:p>
          <w:p w14:paraId="471CDED8" w14:textId="77777777" w:rsidR="009C2E58" w:rsidRPr="00F77FBC" w:rsidRDefault="009C2E58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how to control </w:t>
            </w:r>
            <w:proofErr w:type="spellStart"/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mnc's</w:t>
            </w:r>
            <w:proofErr w:type="spellEnd"/>
            <w:r w:rsidRPr="009C2E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considering factors such as political influence, legal control, pressure groups, and social media. </w:t>
            </w:r>
          </w:p>
          <w:p w14:paraId="2DEC4842" w14:textId="4B0E3A1E" w:rsidR="00F77FBC" w:rsidRPr="004244AD" w:rsidRDefault="00F77FBC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4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2CD75294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F77FB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5EA5B33B" w:rsidR="00AE18A4" w:rsidRPr="00053270" w:rsidRDefault="00C15942" w:rsidP="003F6BB0">
            <w:pPr>
              <w:pStyle w:val="ListParagraph"/>
              <w:numPr>
                <w:ilvl w:val="0"/>
                <w:numId w:val="44"/>
              </w:numPr>
              <w:ind w:left="622" w:hanging="283"/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Revision of syllabus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5CEFF60B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771BE"/>
    <w:multiLevelType w:val="hybridMultilevel"/>
    <w:tmpl w:val="8C3E9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F554A"/>
    <w:multiLevelType w:val="hybridMultilevel"/>
    <w:tmpl w:val="F586B39E"/>
    <w:lvl w:ilvl="0" w:tplc="08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2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1414AA5"/>
    <w:multiLevelType w:val="hybridMultilevel"/>
    <w:tmpl w:val="E7E4D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0374B"/>
    <w:multiLevelType w:val="hybridMultilevel"/>
    <w:tmpl w:val="CADC12F6"/>
    <w:lvl w:ilvl="0" w:tplc="080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1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87336"/>
    <w:multiLevelType w:val="hybridMultilevel"/>
    <w:tmpl w:val="46BC21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A658E5"/>
    <w:multiLevelType w:val="hybridMultilevel"/>
    <w:tmpl w:val="25AA5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91747B"/>
    <w:multiLevelType w:val="hybridMultilevel"/>
    <w:tmpl w:val="58E6C810"/>
    <w:lvl w:ilvl="0" w:tplc="9386F6D6">
      <w:numFmt w:val="bullet"/>
      <w:lvlText w:val="-"/>
      <w:lvlJc w:val="left"/>
      <w:pPr>
        <w:ind w:left="55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4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811837">
    <w:abstractNumId w:val="37"/>
  </w:num>
  <w:num w:numId="2" w16cid:durableId="969751334">
    <w:abstractNumId w:val="18"/>
  </w:num>
  <w:num w:numId="3" w16cid:durableId="1422338138">
    <w:abstractNumId w:val="39"/>
  </w:num>
  <w:num w:numId="4" w16cid:durableId="1787776276">
    <w:abstractNumId w:val="9"/>
  </w:num>
  <w:num w:numId="5" w16cid:durableId="560138130">
    <w:abstractNumId w:val="3"/>
  </w:num>
  <w:num w:numId="6" w16cid:durableId="560291949">
    <w:abstractNumId w:val="42"/>
  </w:num>
  <w:num w:numId="7" w16cid:durableId="713653956">
    <w:abstractNumId w:val="48"/>
  </w:num>
  <w:num w:numId="8" w16cid:durableId="317542999">
    <w:abstractNumId w:val="14"/>
  </w:num>
  <w:num w:numId="9" w16cid:durableId="1638291565">
    <w:abstractNumId w:val="22"/>
  </w:num>
  <w:num w:numId="10" w16cid:durableId="1658609549">
    <w:abstractNumId w:val="41"/>
  </w:num>
  <w:num w:numId="11" w16cid:durableId="717777933">
    <w:abstractNumId w:val="16"/>
  </w:num>
  <w:num w:numId="12" w16cid:durableId="1569266979">
    <w:abstractNumId w:val="32"/>
  </w:num>
  <w:num w:numId="13" w16cid:durableId="129908162">
    <w:abstractNumId w:val="0"/>
  </w:num>
  <w:num w:numId="14" w16cid:durableId="287585804">
    <w:abstractNumId w:val="47"/>
  </w:num>
  <w:num w:numId="15" w16cid:durableId="748233747">
    <w:abstractNumId w:val="15"/>
  </w:num>
  <w:num w:numId="16" w16cid:durableId="1025594396">
    <w:abstractNumId w:val="44"/>
  </w:num>
  <w:num w:numId="17" w16cid:durableId="1086655191">
    <w:abstractNumId w:val="11"/>
  </w:num>
  <w:num w:numId="18" w16cid:durableId="1324435145">
    <w:abstractNumId w:val="45"/>
  </w:num>
  <w:num w:numId="19" w16cid:durableId="1743599470">
    <w:abstractNumId w:val="27"/>
  </w:num>
  <w:num w:numId="20" w16cid:durableId="1311251091">
    <w:abstractNumId w:val="13"/>
  </w:num>
  <w:num w:numId="21" w16cid:durableId="582884290">
    <w:abstractNumId w:val="28"/>
  </w:num>
  <w:num w:numId="22" w16cid:durableId="865366182">
    <w:abstractNumId w:val="46"/>
  </w:num>
  <w:num w:numId="23" w16cid:durableId="1212110234">
    <w:abstractNumId w:val="1"/>
  </w:num>
  <w:num w:numId="24" w16cid:durableId="616110293">
    <w:abstractNumId w:val="12"/>
  </w:num>
  <w:num w:numId="25" w16cid:durableId="879636181">
    <w:abstractNumId w:val="17"/>
  </w:num>
  <w:num w:numId="26" w16cid:durableId="951939062">
    <w:abstractNumId w:val="34"/>
  </w:num>
  <w:num w:numId="27" w16cid:durableId="445346178">
    <w:abstractNumId w:val="29"/>
  </w:num>
  <w:num w:numId="28" w16cid:durableId="953293206">
    <w:abstractNumId w:val="4"/>
  </w:num>
  <w:num w:numId="29" w16cid:durableId="1726441308">
    <w:abstractNumId w:val="38"/>
  </w:num>
  <w:num w:numId="30" w16cid:durableId="1315991076">
    <w:abstractNumId w:val="23"/>
  </w:num>
  <w:num w:numId="31" w16cid:durableId="598879677">
    <w:abstractNumId w:val="40"/>
  </w:num>
  <w:num w:numId="32" w16cid:durableId="1668552819">
    <w:abstractNumId w:val="2"/>
  </w:num>
  <w:num w:numId="33" w16cid:durableId="1494178127">
    <w:abstractNumId w:val="19"/>
  </w:num>
  <w:num w:numId="34" w16cid:durableId="1541550044">
    <w:abstractNumId w:val="7"/>
  </w:num>
  <w:num w:numId="35" w16cid:durableId="691227503">
    <w:abstractNumId w:val="26"/>
  </w:num>
  <w:num w:numId="36" w16cid:durableId="1432312269">
    <w:abstractNumId w:val="10"/>
  </w:num>
  <w:num w:numId="37" w16cid:durableId="1103962583">
    <w:abstractNumId w:val="31"/>
  </w:num>
  <w:num w:numId="38" w16cid:durableId="483817225">
    <w:abstractNumId w:val="24"/>
  </w:num>
  <w:num w:numId="39" w16cid:durableId="294995302">
    <w:abstractNumId w:val="33"/>
  </w:num>
  <w:num w:numId="40" w16cid:durableId="1571381275">
    <w:abstractNumId w:val="8"/>
  </w:num>
  <w:num w:numId="41" w16cid:durableId="313796462">
    <w:abstractNumId w:val="25"/>
  </w:num>
  <w:num w:numId="42" w16cid:durableId="1305699946">
    <w:abstractNumId w:val="6"/>
  </w:num>
  <w:num w:numId="43" w16cid:durableId="1410805807">
    <w:abstractNumId w:val="20"/>
  </w:num>
  <w:num w:numId="44" w16cid:durableId="1134761350">
    <w:abstractNumId w:val="35"/>
  </w:num>
  <w:num w:numId="45" w16cid:durableId="1881041855">
    <w:abstractNumId w:val="5"/>
  </w:num>
  <w:num w:numId="46" w16cid:durableId="898906182">
    <w:abstractNumId w:val="43"/>
  </w:num>
  <w:num w:numId="47" w16cid:durableId="719282968">
    <w:abstractNumId w:val="30"/>
  </w:num>
  <w:num w:numId="48" w16cid:durableId="1626159334">
    <w:abstractNumId w:val="21"/>
  </w:num>
  <w:num w:numId="49" w16cid:durableId="685447812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077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31DF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55870"/>
    <w:rsid w:val="00063767"/>
    <w:rsid w:val="00064F90"/>
    <w:rsid w:val="00072716"/>
    <w:rsid w:val="00073A58"/>
    <w:rsid w:val="0007431D"/>
    <w:rsid w:val="00075581"/>
    <w:rsid w:val="00081294"/>
    <w:rsid w:val="000849F0"/>
    <w:rsid w:val="00084E42"/>
    <w:rsid w:val="00085EDC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1646"/>
    <w:rsid w:val="000E2AD3"/>
    <w:rsid w:val="000E2CB4"/>
    <w:rsid w:val="000E3C63"/>
    <w:rsid w:val="000E594F"/>
    <w:rsid w:val="000E63BF"/>
    <w:rsid w:val="000E666A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0003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19A8"/>
    <w:rsid w:val="002137DC"/>
    <w:rsid w:val="00215B93"/>
    <w:rsid w:val="00220867"/>
    <w:rsid w:val="00221B3D"/>
    <w:rsid w:val="00222297"/>
    <w:rsid w:val="00225BB7"/>
    <w:rsid w:val="0023003D"/>
    <w:rsid w:val="0023770D"/>
    <w:rsid w:val="002414BC"/>
    <w:rsid w:val="00243B0D"/>
    <w:rsid w:val="00243D0E"/>
    <w:rsid w:val="00243F56"/>
    <w:rsid w:val="002441BF"/>
    <w:rsid w:val="0024737E"/>
    <w:rsid w:val="0024759C"/>
    <w:rsid w:val="00252462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397A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4D6"/>
    <w:rsid w:val="00306C5C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12FC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75E61"/>
    <w:rsid w:val="0037643C"/>
    <w:rsid w:val="00380E4A"/>
    <w:rsid w:val="00382D66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E3FC6"/>
    <w:rsid w:val="003E45AA"/>
    <w:rsid w:val="003F3F2B"/>
    <w:rsid w:val="003F6BB0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56B08"/>
    <w:rsid w:val="004633E6"/>
    <w:rsid w:val="00464DD2"/>
    <w:rsid w:val="00472411"/>
    <w:rsid w:val="00476C2D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439E"/>
    <w:rsid w:val="004E7868"/>
    <w:rsid w:val="004F127C"/>
    <w:rsid w:val="00507BA3"/>
    <w:rsid w:val="00511106"/>
    <w:rsid w:val="00514299"/>
    <w:rsid w:val="00520E4E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46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85A"/>
    <w:rsid w:val="00590DFD"/>
    <w:rsid w:val="00597E30"/>
    <w:rsid w:val="005A0D83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03E0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A3114"/>
    <w:rsid w:val="006B2E48"/>
    <w:rsid w:val="006B2F42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15AA2"/>
    <w:rsid w:val="00730468"/>
    <w:rsid w:val="00731604"/>
    <w:rsid w:val="007319F8"/>
    <w:rsid w:val="00733A0F"/>
    <w:rsid w:val="00733E52"/>
    <w:rsid w:val="00734A1B"/>
    <w:rsid w:val="0073536C"/>
    <w:rsid w:val="00735CA4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43F7"/>
    <w:rsid w:val="007B4054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22BD"/>
    <w:rsid w:val="007F7E04"/>
    <w:rsid w:val="00801634"/>
    <w:rsid w:val="00806018"/>
    <w:rsid w:val="008201F2"/>
    <w:rsid w:val="0082136A"/>
    <w:rsid w:val="00825FFB"/>
    <w:rsid w:val="00827F2F"/>
    <w:rsid w:val="0084013A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8624F"/>
    <w:rsid w:val="00892293"/>
    <w:rsid w:val="008947B7"/>
    <w:rsid w:val="008A0298"/>
    <w:rsid w:val="008A66D5"/>
    <w:rsid w:val="008C276E"/>
    <w:rsid w:val="008C7A56"/>
    <w:rsid w:val="008D2005"/>
    <w:rsid w:val="008D68B9"/>
    <w:rsid w:val="008D78DA"/>
    <w:rsid w:val="008E1576"/>
    <w:rsid w:val="008E26C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2E58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E48"/>
    <w:rsid w:val="009F5E66"/>
    <w:rsid w:val="009F7309"/>
    <w:rsid w:val="00A011B5"/>
    <w:rsid w:val="00A048B2"/>
    <w:rsid w:val="00A04ABC"/>
    <w:rsid w:val="00A05D8D"/>
    <w:rsid w:val="00A06832"/>
    <w:rsid w:val="00A06FAD"/>
    <w:rsid w:val="00A127C7"/>
    <w:rsid w:val="00A17961"/>
    <w:rsid w:val="00A2187C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374F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B6F3E"/>
    <w:rsid w:val="00AC66A6"/>
    <w:rsid w:val="00AC6F46"/>
    <w:rsid w:val="00AD03F3"/>
    <w:rsid w:val="00AD73D7"/>
    <w:rsid w:val="00AE18A4"/>
    <w:rsid w:val="00AE5944"/>
    <w:rsid w:val="00AE72ED"/>
    <w:rsid w:val="00AF16BB"/>
    <w:rsid w:val="00AF3320"/>
    <w:rsid w:val="00AF34A1"/>
    <w:rsid w:val="00B0104B"/>
    <w:rsid w:val="00B02BA7"/>
    <w:rsid w:val="00B039A7"/>
    <w:rsid w:val="00B03FEB"/>
    <w:rsid w:val="00B06B0E"/>
    <w:rsid w:val="00B10589"/>
    <w:rsid w:val="00B142E2"/>
    <w:rsid w:val="00B20AA9"/>
    <w:rsid w:val="00B20E06"/>
    <w:rsid w:val="00B256BF"/>
    <w:rsid w:val="00B3526D"/>
    <w:rsid w:val="00B36943"/>
    <w:rsid w:val="00B37304"/>
    <w:rsid w:val="00B40714"/>
    <w:rsid w:val="00B44075"/>
    <w:rsid w:val="00B52EFE"/>
    <w:rsid w:val="00B54485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3A55"/>
    <w:rsid w:val="00B91C8C"/>
    <w:rsid w:val="00B925AC"/>
    <w:rsid w:val="00BA02B9"/>
    <w:rsid w:val="00BA3554"/>
    <w:rsid w:val="00BA45DC"/>
    <w:rsid w:val="00BB0EB3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3FD5"/>
    <w:rsid w:val="00C15942"/>
    <w:rsid w:val="00C15A77"/>
    <w:rsid w:val="00C178FA"/>
    <w:rsid w:val="00C17FBE"/>
    <w:rsid w:val="00C275F9"/>
    <w:rsid w:val="00C27E28"/>
    <w:rsid w:val="00C31356"/>
    <w:rsid w:val="00C32EAA"/>
    <w:rsid w:val="00C37287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3FD5"/>
    <w:rsid w:val="00C644E2"/>
    <w:rsid w:val="00C6485D"/>
    <w:rsid w:val="00C77A66"/>
    <w:rsid w:val="00C83E32"/>
    <w:rsid w:val="00C87266"/>
    <w:rsid w:val="00C910DC"/>
    <w:rsid w:val="00C923D5"/>
    <w:rsid w:val="00C94C13"/>
    <w:rsid w:val="00C9520A"/>
    <w:rsid w:val="00C95E87"/>
    <w:rsid w:val="00C9716E"/>
    <w:rsid w:val="00CA1F84"/>
    <w:rsid w:val="00CA3AE8"/>
    <w:rsid w:val="00CA3E93"/>
    <w:rsid w:val="00CA5B53"/>
    <w:rsid w:val="00CA5F09"/>
    <w:rsid w:val="00CA6B42"/>
    <w:rsid w:val="00CB08CA"/>
    <w:rsid w:val="00CB19D9"/>
    <w:rsid w:val="00CB2278"/>
    <w:rsid w:val="00CB5D19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2E7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4C2C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134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0994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829"/>
    <w:rsid w:val="00E70F47"/>
    <w:rsid w:val="00E741AE"/>
    <w:rsid w:val="00E75432"/>
    <w:rsid w:val="00E7760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3BC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411E"/>
    <w:rsid w:val="00EF6B08"/>
    <w:rsid w:val="00F01C00"/>
    <w:rsid w:val="00F0623A"/>
    <w:rsid w:val="00F0785D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77FBC"/>
    <w:rsid w:val="00F86863"/>
    <w:rsid w:val="00F91340"/>
    <w:rsid w:val="00F956D8"/>
    <w:rsid w:val="00F97809"/>
    <w:rsid w:val="00FA074D"/>
    <w:rsid w:val="00FA2CB7"/>
    <w:rsid w:val="00FA5219"/>
    <w:rsid w:val="00FB42A4"/>
    <w:rsid w:val="00FB4AC1"/>
    <w:rsid w:val="00FC4487"/>
    <w:rsid w:val="00FC7164"/>
    <w:rsid w:val="00FD6433"/>
    <w:rsid w:val="00FE0BC5"/>
    <w:rsid w:val="00FE0F26"/>
    <w:rsid w:val="00FE111E"/>
    <w:rsid w:val="00FE3C7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4.xml><?xml version="1.0" encoding="utf-8"?>
<ds:datastoreItem xmlns:ds="http://schemas.openxmlformats.org/officeDocument/2006/customXml" ds:itemID="{B36AE31A-0F77-479E-820D-A3D0F6936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2023-06-09T12:51:00Z</cp:lastPrinted>
  <dcterms:created xsi:type="dcterms:W3CDTF">2023-06-09T12:51:00Z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