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06860EC6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252462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ED446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3F6BB0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AUTUMN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TERM </w:t>
            </w:r>
            <w:r w:rsidR="003F6BB0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</w:p>
          <w:p w14:paraId="5F8DB210" w14:textId="335742E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252462">
              <w:rPr>
                <w:rFonts w:asciiTheme="majorHAnsi" w:hAnsiTheme="majorHAnsi" w:cstheme="majorHAnsi"/>
                <w:b/>
                <w:sz w:val="36"/>
                <w:szCs w:val="40"/>
              </w:rPr>
              <w:t>4</w:t>
            </w:r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- </w:t>
            </w:r>
            <w:proofErr w:type="spellStart"/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>Globalisation</w:t>
            </w:r>
            <w:proofErr w:type="spellEnd"/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01E916C7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Medium </w:t>
            </w:r>
            <w:r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Term Planning</w:t>
            </w:r>
            <w:r w:rsidR="00BA02B9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DE1B1C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–</w:t>
            </w:r>
            <w:r w:rsidR="00801634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AB6F3E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Protectionism</w:t>
            </w:r>
            <w:r w:rsidR="00BB0EB3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, Trading Blocs</w:t>
            </w:r>
            <w:r w:rsidR="00A011B5">
              <w:rPr>
                <w:rFonts w:asciiTheme="majorHAnsi" w:hAnsiTheme="majorHAnsi" w:cstheme="majorHAnsi"/>
                <w:b/>
                <w:sz w:val="28"/>
                <w:szCs w:val="28"/>
              </w:rPr>
              <w:t>,</w:t>
            </w:r>
            <w:r w:rsidR="00BB0EB3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FA074D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Conditions that prompt trade</w:t>
            </w:r>
            <w:r w:rsidR="00A011B5">
              <w:rPr>
                <w:rFonts w:asciiTheme="majorHAnsi" w:hAnsiTheme="majorHAnsi" w:cstheme="majorHAnsi"/>
                <w:b/>
                <w:sz w:val="28"/>
                <w:szCs w:val="28"/>
              </w:rPr>
              <w:t>, assessment of a country as a market.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62C4690B" w:rsidR="00D3452C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>Pupils should be taught:</w:t>
            </w:r>
          </w:p>
          <w:p w14:paraId="23FEACEE" w14:textId="3DD854BD" w:rsidR="00FA074D" w:rsidRPr="0088624F" w:rsidRDefault="00243D0E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243D0E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What are tariffs and how they can affect business</w:t>
            </w:r>
            <w:r w:rsidR="0088624F" w:rsidRPr="0088624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. </w:t>
            </w:r>
          </w:p>
          <w:p w14:paraId="2F37A75C" w14:textId="57DD12A9" w:rsidR="0088624F" w:rsidRPr="0088624F" w:rsidRDefault="0088624F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88624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import quotas and how these can have an effect on a business. </w:t>
            </w:r>
          </w:p>
          <w:p w14:paraId="5721C41F" w14:textId="55D28B11" w:rsidR="0088624F" w:rsidRPr="00DC134C" w:rsidRDefault="00DC134C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DC134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About trade barriers such as government legislation and domestic subsidies. </w:t>
            </w:r>
          </w:p>
          <w:p w14:paraId="092DEAB7" w14:textId="3483313D" w:rsidR="00DC134C" w:rsidRPr="00E70829" w:rsidRDefault="00E70829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E7082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What is meant by a trading block. </w:t>
            </w:r>
          </w:p>
          <w:p w14:paraId="2804C6BB" w14:textId="4315B3CF" w:rsidR="00E70829" w:rsidRPr="00D74C2C" w:rsidRDefault="00E70829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E7082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different trading </w:t>
            </w:r>
            <w:proofErr w:type="spellStart"/>
            <w:r w:rsidRPr="00E7082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blocks</w:t>
            </w:r>
            <w:proofErr w:type="spellEnd"/>
            <w:r w:rsidRPr="00E7082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which exist </w:t>
            </w:r>
            <w:r w:rsidR="00D74C2C" w:rsidRPr="00D74C2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for example the European Union, ASEAN, </w:t>
            </w:r>
            <w:r w:rsidR="00D74C2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NAFTA</w:t>
            </w:r>
            <w:r w:rsidR="00D74C2C" w:rsidRPr="00D74C2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and what they stand for. </w:t>
            </w:r>
          </w:p>
          <w:p w14:paraId="72515B76" w14:textId="5A7D3B22" w:rsidR="00D74C2C" w:rsidRPr="00CB5D19" w:rsidRDefault="00D74C2C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D74C2C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impact on businesses of trading blocs. </w:t>
            </w:r>
          </w:p>
          <w:p w14:paraId="11526278" w14:textId="4149263B" w:rsidR="00CB5D19" w:rsidRPr="00CB5D19" w:rsidRDefault="00CB5D19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CB5D1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The conditions that prompt trade for example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,</w:t>
            </w:r>
            <w:r w:rsidRPr="00CB5D19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push factors and what they mean such as saturated markets and competition. </w:t>
            </w:r>
          </w:p>
          <w:p w14:paraId="2E4C881E" w14:textId="1335A3BA" w:rsidR="00CB5D19" w:rsidRPr="007B4054" w:rsidRDefault="007B4054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7B405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The conditions that prompt trade for example pull factors such as economies of scale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and</w:t>
            </w:r>
            <w:r w:rsidRPr="007B405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risk spreading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0BD6DD28" w14:textId="06679F73" w:rsidR="007B4054" w:rsidRPr="00C37287" w:rsidRDefault="00C37287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C3728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conditions that prompt trade such as the possibility of offshoring and outsourcing. </w:t>
            </w:r>
          </w:p>
          <w:p w14:paraId="505CBC71" w14:textId="6E6DDC73" w:rsidR="00C37287" w:rsidRPr="002119A8" w:rsidRDefault="00F0623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F0623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conditions that affect trade such as extending the product life cycle by selling in multiple markets. </w:t>
            </w:r>
          </w:p>
          <w:p w14:paraId="07AF151A" w14:textId="13030558" w:rsidR="002119A8" w:rsidRPr="00F0785D" w:rsidRDefault="007A43F7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7A43F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factors a business needs to consider when assessing a country as a market </w:t>
            </w:r>
            <w:r w:rsidR="00F0785D" w:rsidRPr="00F0785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for example levels and growth of disposable income, ease of doing business, infrastructure</w:t>
            </w:r>
            <w:r w:rsidR="00F0785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="00F0785D" w:rsidRPr="00F0785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Political </w:t>
            </w:r>
            <w:proofErr w:type="gramStart"/>
            <w:r w:rsidR="00F0785D" w:rsidRPr="00F0785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stability</w:t>
            </w:r>
            <w:proofErr w:type="gramEnd"/>
            <w:r w:rsidR="00F0785D" w:rsidRPr="00F0785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and exchange rate. </w:t>
            </w:r>
          </w:p>
          <w:p w14:paraId="75F0AADA" w14:textId="512B5436" w:rsidR="00F0785D" w:rsidRPr="00CA1F84" w:rsidRDefault="007F22BD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7F22B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The factors are business need to consider when assessing a country as a production location such as cost of production, skills</w:t>
            </w:r>
            <w:r w:rsidR="000E666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/ </w:t>
            </w:r>
            <w:r w:rsidRPr="007F22B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0E666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availability </w:t>
            </w:r>
            <w:r w:rsidRPr="007F22BD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of the labour force, location in the trade block, government incentives, ease of doing business</w:t>
            </w:r>
            <w:r w:rsidR="000E666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="00E0099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p</w:t>
            </w:r>
            <w:r w:rsidR="000E666A" w:rsidRPr="000E666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olitical stability, natural resources</w:t>
            </w:r>
            <w:r w:rsidR="00E0099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and</w:t>
            </w:r>
            <w:r w:rsidR="000E666A" w:rsidRPr="000E666A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likely return on investment. </w:t>
            </w:r>
          </w:p>
          <w:p w14:paraId="064A6C05" w14:textId="7EC01683" w:rsidR="00CA1F84" w:rsidRPr="00375E61" w:rsidRDefault="00735CA4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735CA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Reasons for global mergers or joint ventures such as spreading risk over different countries and </w:t>
            </w:r>
            <w:proofErr w:type="gramStart"/>
            <w:r w:rsidRPr="00735CA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regions ,</w:t>
            </w:r>
            <w:proofErr w:type="gramEnd"/>
            <w:r w:rsidRPr="00735CA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entry new trade markets, acquiring national international brand names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="00375E61" w:rsidRPr="00375E61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Securing resources and supplies and maintaining an increasing global competitiveness. </w:t>
            </w:r>
          </w:p>
          <w:p w14:paraId="2A2C9D53" w14:textId="6EDA6CF4" w:rsidR="00375E61" w:rsidRPr="00B83A55" w:rsidRDefault="00B83A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B83A5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How a business gains global competitiveness. </w:t>
            </w:r>
          </w:p>
          <w:p w14:paraId="4C92C9EC" w14:textId="33589F90" w:rsidR="00B83A55" w:rsidRPr="00B83A55" w:rsidRDefault="00B83A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B83A5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impact of movements in exchange rates. </w:t>
            </w:r>
          </w:p>
          <w:p w14:paraId="69EE161A" w14:textId="45181E15" w:rsidR="00B83A55" w:rsidRPr="000E1646" w:rsidRDefault="000E1646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E16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How a business can gain competitive advantage through cost competitiveness and differentiation. </w:t>
            </w:r>
          </w:p>
          <w:p w14:paraId="7EBC34D6" w14:textId="77777777" w:rsidR="00C13FD5" w:rsidRPr="000E1646" w:rsidRDefault="000E1646" w:rsidP="000E1646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0E164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The issue of skill shortages and their impact on international competitiveness. </w:t>
            </w:r>
          </w:p>
          <w:p w14:paraId="489746C4" w14:textId="48CD1570" w:rsidR="000E1646" w:rsidRPr="000B7CC1" w:rsidRDefault="000E1646" w:rsidP="00FE3C78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4FF0D432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B7CC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E77602">
              <w:rPr>
                <w:rFonts w:asciiTheme="majorHAnsi" w:hAnsiTheme="majorHAnsi" w:cstheme="majorHAnsi"/>
                <w:b/>
                <w:sz w:val="20"/>
                <w:szCs w:val="20"/>
              </w:rPr>
              <w:t>protectionism</w:t>
            </w:r>
            <w:r w:rsidR="00CA5F09">
              <w:rPr>
                <w:rFonts w:asciiTheme="majorHAnsi" w:hAnsiTheme="majorHAnsi" w:cstheme="majorHAnsi"/>
                <w:b/>
                <w:sz w:val="20"/>
                <w:szCs w:val="20"/>
              </w:rPr>
              <w:t>, trade blocs</w:t>
            </w:r>
            <w:r w:rsidR="00E77602">
              <w:rPr>
                <w:rFonts w:asciiTheme="majorHAnsi" w:hAnsiTheme="majorHAnsi" w:cstheme="majorHAnsi"/>
                <w:b/>
                <w:sz w:val="20"/>
                <w:szCs w:val="20"/>
              </w:rPr>
              <w:t>, condition that prompt trade and assessment of a country as a market.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30B02054" w14:textId="20DC4169" w:rsidR="00665355" w:rsidRPr="00AB0E94" w:rsidRDefault="00665355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SMSC: </w:t>
            </w:r>
            <w:r w:rsidR="00AB0E94" w:rsidRPr="00AB0E94">
              <w:rPr>
                <w:rFonts w:asciiTheme="majorHAnsi" w:hAnsiTheme="majorHAnsi" w:cstheme="majorHAnsi"/>
                <w:sz w:val="16"/>
                <w:szCs w:val="16"/>
              </w:rPr>
              <w:t xml:space="preserve">Is it </w:t>
            </w:r>
            <w:r w:rsidR="00382D66">
              <w:rPr>
                <w:rFonts w:asciiTheme="majorHAnsi" w:hAnsiTheme="majorHAnsi" w:cstheme="majorHAnsi"/>
                <w:sz w:val="16"/>
                <w:szCs w:val="16"/>
              </w:rPr>
              <w:t xml:space="preserve">fair that some countries </w:t>
            </w:r>
            <w:r w:rsidR="0059085A">
              <w:rPr>
                <w:rFonts w:asciiTheme="majorHAnsi" w:hAnsiTheme="majorHAnsi" w:cstheme="majorHAnsi"/>
                <w:sz w:val="16"/>
                <w:szCs w:val="16"/>
              </w:rPr>
              <w:t>form trade blocs with others to allow for better movement of goods?</w:t>
            </w:r>
          </w:p>
          <w:p w14:paraId="574046A4" w14:textId="104AA634" w:rsidR="002C747E" w:rsidRPr="003523F5" w:rsidRDefault="002C747E" w:rsidP="002C747E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 To be aware</w:t>
            </w:r>
            <w:r w:rsidR="00382D66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r w:rsidR="00A2187C">
              <w:rPr>
                <w:rFonts w:asciiTheme="majorHAnsi" w:hAnsiTheme="majorHAnsi" w:cstheme="majorHAnsi"/>
                <w:sz w:val="16"/>
                <w:szCs w:val="16"/>
              </w:rPr>
              <w:t>exchange rates as you will be affected by this when travelling abroad.</w:t>
            </w:r>
          </w:p>
          <w:p w14:paraId="5A90F3DC" w14:textId="4F54732F" w:rsidR="00665355" w:rsidRPr="003523F5" w:rsidRDefault="00665355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tier </w:t>
            </w:r>
            <w:r w:rsidR="00731604"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="00DD62D0"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A40645">
              <w:rPr>
                <w:rFonts w:asciiTheme="majorHAnsi" w:hAnsiTheme="majorHAnsi" w:cstheme="majorHAnsi"/>
                <w:sz w:val="16"/>
                <w:szCs w:val="16"/>
              </w:rPr>
              <w:t xml:space="preserve"> - trade block, investment, economies of scale, exchange rates, </w:t>
            </w:r>
            <w:r w:rsidR="00317D84">
              <w:rPr>
                <w:rFonts w:asciiTheme="majorHAnsi" w:hAnsiTheme="majorHAnsi" w:cstheme="majorHAnsi"/>
                <w:sz w:val="16"/>
                <w:szCs w:val="16"/>
              </w:rPr>
              <w:t>quotas, tariffs, incentives, competitiveness, differ</w:t>
            </w:r>
            <w:r w:rsidR="00BB3B63">
              <w:rPr>
                <w:rFonts w:asciiTheme="majorHAnsi" w:hAnsiTheme="majorHAnsi" w:cstheme="majorHAnsi"/>
                <w:sz w:val="16"/>
                <w:szCs w:val="16"/>
              </w:rPr>
              <w:t>entiation.</w:t>
            </w:r>
          </w:p>
          <w:p w14:paraId="46F64BFE" w14:textId="63106F3C" w:rsidR="000124D7" w:rsidRPr="00AB0E94" w:rsidRDefault="00665355" w:rsidP="0060624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="00A2187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="00A2187C" w:rsidRPr="00A2187C">
              <w:rPr>
                <w:rFonts w:asciiTheme="majorHAnsi" w:hAnsiTheme="majorHAnsi" w:cstheme="majorHAnsi"/>
                <w:sz w:val="16"/>
                <w:szCs w:val="16"/>
              </w:rPr>
              <w:t>Exchange rates and how to calculate them.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25C4BB2D" w:rsidR="0084013A" w:rsidRPr="0084013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You will be in a stronger position to </w:t>
            </w:r>
            <w:r w:rsidR="001E4372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understand </w:t>
            </w:r>
            <w:r w:rsidR="0084013A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the global market if you get a job working for a global organisation.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</w:t>
            </w:r>
            <w:proofErr w:type="gramStart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e.g.</w:t>
            </w:r>
            <w:proofErr w:type="gramEnd"/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3F477489" w14:textId="0B7D664E" w:rsidR="3D578C72" w:rsidRPr="00606249" w:rsidRDefault="3D578C72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In Year 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1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>3</w:t>
            </w:r>
            <w:r w:rsidR="00EE7166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, we want to embed the </w:t>
            </w:r>
            <w:r w:rsidR="00620B90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curriculum so that pupils know tier 3 vocabulary and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understand what is happening in the 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global </w:t>
            </w:r>
            <w:r w:rsidR="00703CD7" w:rsidRPr="00606249">
              <w:rPr>
                <w:rFonts w:asciiTheme="majorHAnsi" w:eastAsia="Calibri" w:hAnsiTheme="majorHAnsi" w:cstheme="majorHAnsi"/>
                <w:sz w:val="16"/>
                <w:szCs w:val="16"/>
              </w:rPr>
              <w:t>business world and how this can impact a business in either a positive / negative way</w:t>
            </w:r>
            <w:r w:rsidR="00EC03BC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and the implications a business faces when trading on a global scale.</w:t>
            </w:r>
          </w:p>
          <w:p w14:paraId="4B0F63BF" w14:textId="77777777" w:rsidR="00BC11D9" w:rsidRPr="00606249" w:rsidRDefault="00BC11D9" w:rsidP="00EE7166">
            <w:pPr>
              <w:spacing w:line="240" w:lineRule="exac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4DA4BAC4" w14:textId="6DF3F323" w:rsidR="00C13FD5" w:rsidRPr="008E26C6" w:rsidRDefault="00C13FD5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C13FD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8E26C6" w:rsidRPr="008E26C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define the term protectionism and also explain what time it is and how it is linked to protectionism. </w:t>
            </w:r>
          </w:p>
          <w:p w14:paraId="265B1414" w14:textId="77777777" w:rsidR="00073A58" w:rsidRPr="00073A58" w:rsidRDefault="008E26C6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8E26C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explain what an import quota is along with real life examples. </w:t>
            </w:r>
          </w:p>
          <w:p w14:paraId="0EA34543" w14:textId="77777777" w:rsidR="00073A58" w:rsidRPr="00073A58" w:rsidRDefault="00073A58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073A5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explain that there are other barriers to trade such as government legislation and domestic subsidies.</w:t>
            </w:r>
          </w:p>
          <w:p w14:paraId="5B17B35F" w14:textId="77777777" w:rsidR="00B54485" w:rsidRPr="00B54485" w:rsidRDefault="00B54485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5448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explain what is meant by the term a trading block. </w:t>
            </w:r>
          </w:p>
          <w:p w14:paraId="0C15F8F4" w14:textId="77777777" w:rsidR="00B54485" w:rsidRPr="00B54485" w:rsidRDefault="00B54485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B5448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give real life examples of trading blocks. </w:t>
            </w:r>
          </w:p>
          <w:p w14:paraId="33B019E9" w14:textId="77777777" w:rsidR="005A0D83" w:rsidRPr="005A0D83" w:rsidRDefault="005A0D83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5A0D8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analyse and evaluate the impact on businesses of trading blocks. </w:t>
            </w:r>
          </w:p>
          <w:p w14:paraId="44B9DA6B" w14:textId="77777777" w:rsidR="00734A1B" w:rsidRPr="00734A1B" w:rsidRDefault="005A0D83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5A0D83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discuss the conditions that prompt trade </w:t>
            </w:r>
            <w:r w:rsidR="00734A1B" w:rsidRPr="00734A1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such as the push factors of saturated markets and competition. </w:t>
            </w:r>
          </w:p>
          <w:p w14:paraId="42C37296" w14:textId="6449CA24" w:rsidR="008E26C6" w:rsidRPr="00734A1B" w:rsidRDefault="00734A1B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734A1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discuss the conditions that prompt trade such as pull factors such as economies of scale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and</w:t>
            </w:r>
            <w:r w:rsidRPr="00734A1B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risk spreading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7DDCAC4E" w14:textId="47386BC6" w:rsidR="00734A1B" w:rsidRPr="006A3114" w:rsidRDefault="006A3114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6A311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explain the term offshoring and outsourcing and how these contribute to prompting trade. </w:t>
            </w:r>
          </w:p>
          <w:p w14:paraId="5A8B6DFC" w14:textId="2B0B7585" w:rsidR="006A3114" w:rsidRPr="008E26C6" w:rsidRDefault="006A3114" w:rsidP="00EC03BC">
            <w:pPr>
              <w:pStyle w:val="ListParagraph"/>
              <w:numPr>
                <w:ilvl w:val="0"/>
                <w:numId w:val="37"/>
              </w:numPr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  <w:r w:rsidRPr="006A311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explain </w:t>
            </w:r>
            <w:r w:rsidR="004633E6" w:rsidRPr="004633E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how extending the product life cycle helps to prompt trade by selling in multiple markets. </w:t>
            </w:r>
          </w:p>
          <w:p w14:paraId="01EE7154" w14:textId="09822CFC" w:rsidR="00476C2D" w:rsidRPr="003F6BB0" w:rsidRDefault="004633E6" w:rsidP="003F6BB0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764" w:hanging="425"/>
              <w:rPr>
                <w:rFonts w:asciiTheme="majorHAnsi" w:hAnsiTheme="majorHAnsi" w:cstheme="majorHAnsi"/>
                <w:sz w:val="16"/>
                <w:szCs w:val="16"/>
              </w:rPr>
            </w:pPr>
            <w:r w:rsidRPr="003F6BB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Students will be able to assess </w:t>
            </w:r>
            <w:r w:rsidR="00476C2D" w:rsidRPr="003F6BB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 country as a market by considering factors such </w:t>
            </w:r>
            <w:proofErr w:type="gramStart"/>
            <w:r w:rsidR="00476C2D" w:rsidRPr="003F6BB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as :</w:t>
            </w:r>
            <w:proofErr w:type="gramEnd"/>
            <w:r w:rsidR="003F6BB0" w:rsidRPr="003F6BB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- </w:t>
            </w:r>
            <w:r w:rsidR="00476C2D" w:rsidRPr="003F6BB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levels and growth of disposable income, ease of doing business, infrastructure, political stability and exchange rates. </w:t>
            </w:r>
          </w:p>
          <w:p w14:paraId="41E2FD55" w14:textId="13850750" w:rsidR="00476C2D" w:rsidRPr="00554464" w:rsidRDefault="00554464" w:rsidP="00476C2D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55446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lastRenderedPageBreak/>
              <w:t xml:space="preserve">Students will be able to assess a country as a production location by considering factors such </w:t>
            </w:r>
            <w:proofErr w:type="gramStart"/>
            <w:r w:rsidRPr="0055446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as 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:</w:t>
            </w:r>
            <w:proofErr w:type="gramEnd"/>
          </w:p>
          <w:p w14:paraId="717631F2" w14:textId="63672465" w:rsidR="00554464" w:rsidRPr="00085EDC" w:rsidRDefault="00554464" w:rsidP="00476C2D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55446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C</w:t>
            </w:r>
            <w:r w:rsidR="0022229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osts of</w:t>
            </w:r>
            <w:r w:rsidRPr="00554464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production, </w:t>
            </w:r>
            <w:r w:rsidR="006B2F42" w:rsidRPr="006B2F42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skills and availability of labour force, infrastructure, location in the trade block, government incentives, ease of doing business</w:t>
            </w:r>
            <w:r w:rsidR="006B2F42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, </w:t>
            </w:r>
            <w:r w:rsidR="00222297" w:rsidRPr="00222297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Political stability, natural resources, and the likely return on investment. </w:t>
            </w:r>
          </w:p>
          <w:p w14:paraId="06EC1B40" w14:textId="19A3EAF9" w:rsidR="00085EDC" w:rsidRPr="00C87266" w:rsidRDefault="00456B08" w:rsidP="00476C2D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e</w:t>
            </w:r>
            <w:r w:rsidR="00055870" w:rsidRPr="0005587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xplain the reasons for global mergers or joint ventures such as spreading the risk of a different countries , enter new markets or trade blocs, acquiring national brand names, securing resources on supplies and maintaining</w:t>
            </w:r>
            <w:r w:rsidR="00C8726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</w:t>
            </w:r>
            <w:r w:rsidR="00055870" w:rsidRPr="00055870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or increasing global competitiveness</w:t>
            </w:r>
            <w:r w:rsidR="00C87266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55078E0D" w14:textId="0FDD0C62" w:rsidR="00C87266" w:rsidRPr="0037643C" w:rsidRDefault="00456B08" w:rsidP="00476C2D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456B08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explain what is meant by the term global competitiveness and how this can be affected by the impact of movements in exchange rates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2E30B51D" w14:textId="16F4C70F" w:rsidR="0037643C" w:rsidRPr="00733A0F" w:rsidRDefault="00733A0F" w:rsidP="00476C2D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 w:rsidRPr="00733A0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Students will be able to explain that competitive advantage is going through cost competitiveness and differentiation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.</w:t>
            </w:r>
          </w:p>
          <w:p w14:paraId="47855800" w14:textId="5087F132" w:rsidR="00733A0F" w:rsidRPr="00156226" w:rsidRDefault="00FE0BC5" w:rsidP="00476C2D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S</w:t>
            </w:r>
            <w:r w:rsidR="00733A0F" w:rsidRPr="00733A0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>tudents will be able to discuss</w:t>
            </w:r>
            <w:r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why</w:t>
            </w:r>
            <w:r w:rsidR="00733A0F" w:rsidRPr="00733A0F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 skill shortages can have an impact on international competitiveness</w:t>
            </w:r>
            <w:r w:rsidRPr="00FE0BC5">
              <w:rPr>
                <w:rFonts w:asciiTheme="majorHAnsi" w:hAnsiTheme="majorHAnsi" w:cstheme="majorHAnsi"/>
                <w:sz w:val="16"/>
                <w:szCs w:val="16"/>
                <w:lang w:val="en-GB"/>
              </w:rPr>
              <w:t xml:space="preserve">. </w:t>
            </w:r>
          </w:p>
          <w:p w14:paraId="2AC8833E" w14:textId="22EB76A8" w:rsidR="00156226" w:rsidRPr="00FE0BC5" w:rsidRDefault="00156226" w:rsidP="00476C2D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621" w:hanging="283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Students will continue to practice their exam technique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8,10,12 and 20 mark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questions specifically for theme 4</w:t>
            </w:r>
          </w:p>
          <w:p w14:paraId="2DEC4842" w14:textId="3264A298" w:rsidR="00EC03BC" w:rsidRPr="004244AD" w:rsidRDefault="00EC03BC" w:rsidP="00EC03BC">
            <w:pPr>
              <w:pStyle w:val="ListParagraph"/>
              <w:spacing w:line="240" w:lineRule="exac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7AC32EB0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156226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5E80C613" w:rsidR="00AE18A4" w:rsidRPr="00053270" w:rsidRDefault="003F6BB0" w:rsidP="003F6BB0">
            <w:pPr>
              <w:pStyle w:val="ListParagraph"/>
              <w:numPr>
                <w:ilvl w:val="0"/>
                <w:numId w:val="44"/>
              </w:numPr>
              <w:ind w:left="622" w:hanging="283"/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Global Marketing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31A0" w14:textId="77777777" w:rsidR="008650C4" w:rsidRDefault="008650C4" w:rsidP="00C40517">
      <w:r>
        <w:separator/>
      </w:r>
    </w:p>
  </w:endnote>
  <w:endnote w:type="continuationSeparator" w:id="0">
    <w:p w14:paraId="3EAA0B13" w14:textId="77777777" w:rsidR="008650C4" w:rsidRDefault="008650C4" w:rsidP="00C40517">
      <w:r>
        <w:continuationSeparator/>
      </w:r>
    </w:p>
  </w:endnote>
  <w:endnote w:type="continuationNotice" w:id="1">
    <w:p w14:paraId="346F5447" w14:textId="77777777" w:rsidR="008650C4" w:rsidRDefault="00865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D2A23" w14:textId="77777777" w:rsidR="008650C4" w:rsidRDefault="008650C4" w:rsidP="00C40517">
      <w:r>
        <w:separator/>
      </w:r>
    </w:p>
  </w:footnote>
  <w:footnote w:type="continuationSeparator" w:id="0">
    <w:p w14:paraId="1B074795" w14:textId="77777777" w:rsidR="008650C4" w:rsidRDefault="008650C4" w:rsidP="00C40517">
      <w:r>
        <w:continuationSeparator/>
      </w:r>
    </w:p>
  </w:footnote>
  <w:footnote w:type="continuationNotice" w:id="1">
    <w:p w14:paraId="3E0033D7" w14:textId="77777777" w:rsidR="008650C4" w:rsidRDefault="008650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E7E4D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467A9"/>
    <w:multiLevelType w:val="hybridMultilevel"/>
    <w:tmpl w:val="36EEC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087336"/>
    <w:multiLevelType w:val="hybridMultilevel"/>
    <w:tmpl w:val="46BC213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176937">
    <w:abstractNumId w:val="33"/>
  </w:num>
  <w:num w:numId="2" w16cid:durableId="2126078552">
    <w:abstractNumId w:val="17"/>
  </w:num>
  <w:num w:numId="3" w16cid:durableId="991913504">
    <w:abstractNumId w:val="35"/>
  </w:num>
  <w:num w:numId="4" w16cid:durableId="1415276987">
    <w:abstractNumId w:val="8"/>
  </w:num>
  <w:num w:numId="5" w16cid:durableId="429660637">
    <w:abstractNumId w:val="3"/>
  </w:num>
  <w:num w:numId="6" w16cid:durableId="223807047">
    <w:abstractNumId w:val="38"/>
  </w:num>
  <w:num w:numId="7" w16cid:durableId="312023232">
    <w:abstractNumId w:val="43"/>
  </w:num>
  <w:num w:numId="8" w16cid:durableId="1555239180">
    <w:abstractNumId w:val="13"/>
  </w:num>
  <w:num w:numId="9" w16cid:durableId="1110125666">
    <w:abstractNumId w:val="20"/>
  </w:num>
  <w:num w:numId="10" w16cid:durableId="1446073943">
    <w:abstractNumId w:val="37"/>
  </w:num>
  <w:num w:numId="11" w16cid:durableId="573704981">
    <w:abstractNumId w:val="15"/>
  </w:num>
  <w:num w:numId="12" w16cid:durableId="1661885360">
    <w:abstractNumId w:val="29"/>
  </w:num>
  <w:num w:numId="13" w16cid:durableId="287324057">
    <w:abstractNumId w:val="0"/>
  </w:num>
  <w:num w:numId="14" w16cid:durableId="82149149">
    <w:abstractNumId w:val="42"/>
  </w:num>
  <w:num w:numId="15" w16cid:durableId="1595557354">
    <w:abstractNumId w:val="14"/>
  </w:num>
  <w:num w:numId="16" w16cid:durableId="93088047">
    <w:abstractNumId w:val="39"/>
  </w:num>
  <w:num w:numId="17" w16cid:durableId="484517759">
    <w:abstractNumId w:val="10"/>
  </w:num>
  <w:num w:numId="18" w16cid:durableId="507795359">
    <w:abstractNumId w:val="40"/>
  </w:num>
  <w:num w:numId="19" w16cid:durableId="1558937134">
    <w:abstractNumId w:val="25"/>
  </w:num>
  <w:num w:numId="20" w16cid:durableId="191843686">
    <w:abstractNumId w:val="12"/>
  </w:num>
  <w:num w:numId="21" w16cid:durableId="2000378905">
    <w:abstractNumId w:val="26"/>
  </w:num>
  <w:num w:numId="22" w16cid:durableId="523177977">
    <w:abstractNumId w:val="41"/>
  </w:num>
  <w:num w:numId="23" w16cid:durableId="95100440">
    <w:abstractNumId w:val="1"/>
  </w:num>
  <w:num w:numId="24" w16cid:durableId="612517087">
    <w:abstractNumId w:val="11"/>
  </w:num>
  <w:num w:numId="25" w16cid:durableId="1426070199">
    <w:abstractNumId w:val="16"/>
  </w:num>
  <w:num w:numId="26" w16cid:durableId="158351321">
    <w:abstractNumId w:val="31"/>
  </w:num>
  <w:num w:numId="27" w16cid:durableId="925067264">
    <w:abstractNumId w:val="27"/>
  </w:num>
  <w:num w:numId="28" w16cid:durableId="953680809">
    <w:abstractNumId w:val="4"/>
  </w:num>
  <w:num w:numId="29" w16cid:durableId="1540314958">
    <w:abstractNumId w:val="34"/>
  </w:num>
  <w:num w:numId="30" w16cid:durableId="1535264149">
    <w:abstractNumId w:val="21"/>
  </w:num>
  <w:num w:numId="31" w16cid:durableId="755324928">
    <w:abstractNumId w:val="36"/>
  </w:num>
  <w:num w:numId="32" w16cid:durableId="1240559767">
    <w:abstractNumId w:val="2"/>
  </w:num>
  <w:num w:numId="33" w16cid:durableId="1761028497">
    <w:abstractNumId w:val="18"/>
  </w:num>
  <w:num w:numId="34" w16cid:durableId="1443527995">
    <w:abstractNumId w:val="6"/>
  </w:num>
  <w:num w:numId="35" w16cid:durableId="234750013">
    <w:abstractNumId w:val="24"/>
  </w:num>
  <w:num w:numId="36" w16cid:durableId="998576052">
    <w:abstractNumId w:val="9"/>
  </w:num>
  <w:num w:numId="37" w16cid:durableId="362440819">
    <w:abstractNumId w:val="28"/>
  </w:num>
  <w:num w:numId="38" w16cid:durableId="1940062720">
    <w:abstractNumId w:val="22"/>
  </w:num>
  <w:num w:numId="39" w16cid:durableId="320811941">
    <w:abstractNumId w:val="30"/>
  </w:num>
  <w:num w:numId="40" w16cid:durableId="26686261">
    <w:abstractNumId w:val="7"/>
  </w:num>
  <w:num w:numId="41" w16cid:durableId="247616847">
    <w:abstractNumId w:val="23"/>
  </w:num>
  <w:num w:numId="42" w16cid:durableId="422801067">
    <w:abstractNumId w:val="5"/>
  </w:num>
  <w:num w:numId="43" w16cid:durableId="482308902">
    <w:abstractNumId w:val="19"/>
  </w:num>
  <w:num w:numId="44" w16cid:durableId="1556623219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55870"/>
    <w:rsid w:val="00063767"/>
    <w:rsid w:val="00064F90"/>
    <w:rsid w:val="00072716"/>
    <w:rsid w:val="00073A58"/>
    <w:rsid w:val="0007431D"/>
    <w:rsid w:val="00075581"/>
    <w:rsid w:val="00081294"/>
    <w:rsid w:val="000849F0"/>
    <w:rsid w:val="00084E42"/>
    <w:rsid w:val="00085EDC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1646"/>
    <w:rsid w:val="000E2AD3"/>
    <w:rsid w:val="000E2CB4"/>
    <w:rsid w:val="000E3C63"/>
    <w:rsid w:val="000E594F"/>
    <w:rsid w:val="000E63BF"/>
    <w:rsid w:val="000E666A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00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6226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19A8"/>
    <w:rsid w:val="002137DC"/>
    <w:rsid w:val="00215B93"/>
    <w:rsid w:val="00220867"/>
    <w:rsid w:val="00221B3D"/>
    <w:rsid w:val="00222297"/>
    <w:rsid w:val="00225BB7"/>
    <w:rsid w:val="0023003D"/>
    <w:rsid w:val="0023770D"/>
    <w:rsid w:val="002414BC"/>
    <w:rsid w:val="00243B0D"/>
    <w:rsid w:val="00243D0E"/>
    <w:rsid w:val="00243F56"/>
    <w:rsid w:val="002441BF"/>
    <w:rsid w:val="0024737E"/>
    <w:rsid w:val="0024759C"/>
    <w:rsid w:val="00252462"/>
    <w:rsid w:val="00254293"/>
    <w:rsid w:val="00254CD3"/>
    <w:rsid w:val="00255177"/>
    <w:rsid w:val="00255CD0"/>
    <w:rsid w:val="00257FFC"/>
    <w:rsid w:val="00272A82"/>
    <w:rsid w:val="0027330E"/>
    <w:rsid w:val="00277F06"/>
    <w:rsid w:val="002818A9"/>
    <w:rsid w:val="00284673"/>
    <w:rsid w:val="00285D33"/>
    <w:rsid w:val="002914EE"/>
    <w:rsid w:val="0029397A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C5C"/>
    <w:rsid w:val="00306D57"/>
    <w:rsid w:val="00312C97"/>
    <w:rsid w:val="00317D84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75E61"/>
    <w:rsid w:val="0037643C"/>
    <w:rsid w:val="00380E4A"/>
    <w:rsid w:val="00382D66"/>
    <w:rsid w:val="00387EAA"/>
    <w:rsid w:val="003A43AE"/>
    <w:rsid w:val="003B104B"/>
    <w:rsid w:val="003B2F64"/>
    <w:rsid w:val="003B3EF5"/>
    <w:rsid w:val="003B4C75"/>
    <w:rsid w:val="003B4EB6"/>
    <w:rsid w:val="003C1B98"/>
    <w:rsid w:val="003C3EC5"/>
    <w:rsid w:val="003C6590"/>
    <w:rsid w:val="003C7CA1"/>
    <w:rsid w:val="003D6370"/>
    <w:rsid w:val="003E3FC6"/>
    <w:rsid w:val="003E45AA"/>
    <w:rsid w:val="003F3F2B"/>
    <w:rsid w:val="003F6BB0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56B08"/>
    <w:rsid w:val="004633E6"/>
    <w:rsid w:val="00464DD2"/>
    <w:rsid w:val="00472411"/>
    <w:rsid w:val="00476C2D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46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85A"/>
    <w:rsid w:val="00590DFD"/>
    <w:rsid w:val="00597E30"/>
    <w:rsid w:val="005A0D83"/>
    <w:rsid w:val="005A237C"/>
    <w:rsid w:val="005B3278"/>
    <w:rsid w:val="005B6401"/>
    <w:rsid w:val="005B7003"/>
    <w:rsid w:val="005C473C"/>
    <w:rsid w:val="005C6427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03E0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A3114"/>
    <w:rsid w:val="006B2E48"/>
    <w:rsid w:val="006B2F42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A0F"/>
    <w:rsid w:val="00733E52"/>
    <w:rsid w:val="00734A1B"/>
    <w:rsid w:val="0073536C"/>
    <w:rsid w:val="00735CA4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A43F7"/>
    <w:rsid w:val="007B4054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22BD"/>
    <w:rsid w:val="007F7E04"/>
    <w:rsid w:val="00801634"/>
    <w:rsid w:val="00806018"/>
    <w:rsid w:val="008201F2"/>
    <w:rsid w:val="0082136A"/>
    <w:rsid w:val="00825FFB"/>
    <w:rsid w:val="00827F2F"/>
    <w:rsid w:val="0084013A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650C4"/>
    <w:rsid w:val="00876FAA"/>
    <w:rsid w:val="0088624F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26C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E48"/>
    <w:rsid w:val="009F5E66"/>
    <w:rsid w:val="009F7309"/>
    <w:rsid w:val="00A011B5"/>
    <w:rsid w:val="00A048B2"/>
    <w:rsid w:val="00A04ABC"/>
    <w:rsid w:val="00A05D8D"/>
    <w:rsid w:val="00A06832"/>
    <w:rsid w:val="00A06FAD"/>
    <w:rsid w:val="00A127C7"/>
    <w:rsid w:val="00A17961"/>
    <w:rsid w:val="00A2187C"/>
    <w:rsid w:val="00A25AA2"/>
    <w:rsid w:val="00A2745E"/>
    <w:rsid w:val="00A31154"/>
    <w:rsid w:val="00A314DA"/>
    <w:rsid w:val="00A40645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B6F3E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4485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3A55"/>
    <w:rsid w:val="00B91C8C"/>
    <w:rsid w:val="00B925AC"/>
    <w:rsid w:val="00BA02B9"/>
    <w:rsid w:val="00BA3554"/>
    <w:rsid w:val="00BA45DC"/>
    <w:rsid w:val="00BB0EB3"/>
    <w:rsid w:val="00BB35C0"/>
    <w:rsid w:val="00BB3B63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3FD5"/>
    <w:rsid w:val="00C15A77"/>
    <w:rsid w:val="00C178FA"/>
    <w:rsid w:val="00C17FBE"/>
    <w:rsid w:val="00C275F9"/>
    <w:rsid w:val="00C27E28"/>
    <w:rsid w:val="00C31356"/>
    <w:rsid w:val="00C32EAA"/>
    <w:rsid w:val="00C37287"/>
    <w:rsid w:val="00C40517"/>
    <w:rsid w:val="00C40B56"/>
    <w:rsid w:val="00C40F11"/>
    <w:rsid w:val="00C4165D"/>
    <w:rsid w:val="00C4235D"/>
    <w:rsid w:val="00C4251D"/>
    <w:rsid w:val="00C44DDD"/>
    <w:rsid w:val="00C44E5D"/>
    <w:rsid w:val="00C52B40"/>
    <w:rsid w:val="00C5690C"/>
    <w:rsid w:val="00C644E2"/>
    <w:rsid w:val="00C6485D"/>
    <w:rsid w:val="00C77A66"/>
    <w:rsid w:val="00C83E32"/>
    <w:rsid w:val="00C87266"/>
    <w:rsid w:val="00C910DC"/>
    <w:rsid w:val="00C923D5"/>
    <w:rsid w:val="00C94C13"/>
    <w:rsid w:val="00C9520A"/>
    <w:rsid w:val="00C95E87"/>
    <w:rsid w:val="00C9716E"/>
    <w:rsid w:val="00CA1F84"/>
    <w:rsid w:val="00CA3AE8"/>
    <w:rsid w:val="00CA3E93"/>
    <w:rsid w:val="00CA5B53"/>
    <w:rsid w:val="00CA5F09"/>
    <w:rsid w:val="00CA6B42"/>
    <w:rsid w:val="00CB08CA"/>
    <w:rsid w:val="00CB19D9"/>
    <w:rsid w:val="00CB2278"/>
    <w:rsid w:val="00CB5D19"/>
    <w:rsid w:val="00CB67B4"/>
    <w:rsid w:val="00CB7AB8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4C2C"/>
    <w:rsid w:val="00D75954"/>
    <w:rsid w:val="00D75C28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134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0994"/>
    <w:rsid w:val="00E0315D"/>
    <w:rsid w:val="00E06D12"/>
    <w:rsid w:val="00E07B86"/>
    <w:rsid w:val="00E16B04"/>
    <w:rsid w:val="00E174D5"/>
    <w:rsid w:val="00E2718B"/>
    <w:rsid w:val="00E31AE0"/>
    <w:rsid w:val="00E529B6"/>
    <w:rsid w:val="00E5529F"/>
    <w:rsid w:val="00E641FC"/>
    <w:rsid w:val="00E66610"/>
    <w:rsid w:val="00E70829"/>
    <w:rsid w:val="00E70F47"/>
    <w:rsid w:val="00E741AE"/>
    <w:rsid w:val="00E75432"/>
    <w:rsid w:val="00E77602"/>
    <w:rsid w:val="00E81B9F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3BC"/>
    <w:rsid w:val="00EC3805"/>
    <w:rsid w:val="00EC5254"/>
    <w:rsid w:val="00ED446A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411E"/>
    <w:rsid w:val="00EF6B08"/>
    <w:rsid w:val="00F01C00"/>
    <w:rsid w:val="00F0623A"/>
    <w:rsid w:val="00F0785D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074D"/>
    <w:rsid w:val="00FA2CB7"/>
    <w:rsid w:val="00FA5219"/>
    <w:rsid w:val="00FB42A4"/>
    <w:rsid w:val="00FB4AC1"/>
    <w:rsid w:val="00FC4487"/>
    <w:rsid w:val="00FC7164"/>
    <w:rsid w:val="00FD6433"/>
    <w:rsid w:val="00FE0BC5"/>
    <w:rsid w:val="00FE0F26"/>
    <w:rsid w:val="00FE111E"/>
    <w:rsid w:val="00FE3C7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B0A17-7CAF-4193-B284-06674A249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2023-06-09T12:49:00Z</cp:lastPrinted>
  <dcterms:created xsi:type="dcterms:W3CDTF">2023-06-09T12:50:00Z</dcterms:created>
  <dcterms:modified xsi:type="dcterms:W3CDTF">2023-06-10T10:41:00Z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