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4AC70D68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12 </w:t>
            </w:r>
            <w:r w:rsidR="0089414D">
              <w:rPr>
                <w:rFonts w:ascii="Twinkl" w:hAnsi="Twinkl"/>
                <w:b/>
                <w:sz w:val="36"/>
                <w:szCs w:val="40"/>
              </w:rPr>
              <w:t>French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020DE46C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89414D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 w:rsidRPr="0089414D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89414D" w:rsidRPr="0089414D">
              <w:rPr>
                <w:rFonts w:ascii="Twinkl" w:hAnsi="Twinkl"/>
                <w:b/>
                <w:sz w:val="32"/>
                <w:szCs w:val="32"/>
              </w:rPr>
              <w:t xml:space="preserve">La </w:t>
            </w:r>
            <w:proofErr w:type="spellStart"/>
            <w:r w:rsidR="0089414D" w:rsidRPr="0089414D">
              <w:rPr>
                <w:rFonts w:ascii="Twinkl" w:hAnsi="Twinkl"/>
                <w:b/>
                <w:sz w:val="32"/>
                <w:szCs w:val="32"/>
              </w:rPr>
              <w:t>cybersociété</w:t>
            </w:r>
            <w:proofErr w:type="spellEnd"/>
            <w:r w:rsidR="00DD0D49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4696089D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r w:rsidR="0089414D">
              <w:rPr>
                <w:sz w:val="20"/>
                <w:szCs w:val="20"/>
              </w:rPr>
              <w:t>French.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052D9690" w14:textId="6AD3CD5A" w:rsidR="009F7662" w:rsidRPr="009730E5" w:rsidRDefault="009F7662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89414D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1B6A64C8" w:rsidR="009F7662" w:rsidRPr="009730E5" w:rsidRDefault="009F7662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89414D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0AFEF1B6" w:rsidR="009730E5" w:rsidRPr="009730E5" w:rsidRDefault="009730E5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89414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Spanish is </w:t>
            </w:r>
            <w:proofErr w:type="gramStart"/>
            <w:r w:rsidRPr="009730E5">
              <w:rPr>
                <w:sz w:val="20"/>
                <w:szCs w:val="20"/>
              </w:rPr>
              <w:t>spoken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4856C392" w14:textId="23DF245D" w:rsidR="009730E5" w:rsidRPr="009730E5" w:rsidRDefault="009730E5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89414D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</w:t>
            </w:r>
            <w:proofErr w:type="gramStart"/>
            <w:r w:rsidRPr="009730E5">
              <w:rPr>
                <w:sz w:val="20"/>
                <w:szCs w:val="20"/>
              </w:rPr>
              <w:t>internet</w:t>
            </w:r>
            <w:proofErr w:type="gramEnd"/>
            <w:r w:rsidRPr="009730E5">
              <w:rPr>
                <w:sz w:val="20"/>
                <w:szCs w:val="20"/>
              </w:rPr>
              <w:t xml:space="preserve"> </w:t>
            </w:r>
          </w:p>
          <w:p w14:paraId="6293942F" w14:textId="77777777" w:rsidR="009730E5" w:rsidRPr="009730E5" w:rsidRDefault="009730E5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use information to illustrate knowledge and understanding of the research </w:t>
            </w:r>
            <w:proofErr w:type="gramStart"/>
            <w:r w:rsidRPr="009730E5">
              <w:rPr>
                <w:sz w:val="20"/>
                <w:szCs w:val="20"/>
              </w:rPr>
              <w:t>subject</w:t>
            </w:r>
            <w:proofErr w:type="gramEnd"/>
          </w:p>
          <w:p w14:paraId="66B0CD90" w14:textId="21555B12" w:rsidR="009730E5" w:rsidRPr="00527B7A" w:rsidRDefault="009730E5" w:rsidP="004F40F6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</w:t>
            </w:r>
            <w:proofErr w:type="spellStart"/>
            <w:r w:rsidRPr="009730E5">
              <w:rPr>
                <w:sz w:val="20"/>
                <w:szCs w:val="20"/>
              </w:rPr>
              <w:t>analyse</w:t>
            </w:r>
            <w:proofErr w:type="spellEnd"/>
            <w:r w:rsidRPr="009730E5">
              <w:rPr>
                <w:sz w:val="20"/>
                <w:szCs w:val="20"/>
              </w:rPr>
              <w:t xml:space="preserve"> and </w:t>
            </w:r>
            <w:proofErr w:type="spellStart"/>
            <w:r w:rsidRPr="009730E5">
              <w:rPr>
                <w:sz w:val="20"/>
                <w:szCs w:val="20"/>
              </w:rPr>
              <w:t>summarise</w:t>
            </w:r>
            <w:proofErr w:type="spellEnd"/>
            <w:r w:rsidRPr="009730E5">
              <w:rPr>
                <w:sz w:val="20"/>
                <w:szCs w:val="20"/>
              </w:rPr>
              <w:t xml:space="preserve">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2EDE150C" w14:textId="5B7DC494" w:rsidR="007110BB" w:rsidRDefault="00A457A1" w:rsidP="005618F5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the positives and negatives of technology and how to be safe on the </w:t>
            </w:r>
            <w:proofErr w:type="gramStart"/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>internet</w:t>
            </w:r>
            <w:proofErr w:type="gramEnd"/>
          </w:p>
          <w:p w14:paraId="46F64BFE" w14:textId="7E94D5E1" w:rsidR="00A50387" w:rsidRPr="00B02EC1" w:rsidRDefault="00A50387" w:rsidP="005618F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topics</w:t>
            </w:r>
            <w:proofErr w:type="gramEnd"/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4282C20D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8F6D55">
              <w:rPr>
                <w:rFonts w:ascii="Twinkl" w:hAnsi="Twinkl"/>
                <w:bCs/>
                <w:sz w:val="20"/>
                <w:szCs w:val="20"/>
              </w:rPr>
              <w:t>trans</w:t>
            </w:r>
            <w:r w:rsidR="0089414D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</w:t>
            </w:r>
            <w:proofErr w:type="gram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3B49A2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7110BB">
              <w:rPr>
                <w:rFonts w:ascii="Twinkl" w:hAnsi="Twinkl" w:cs="Arial"/>
                <w:bCs/>
                <w:sz w:val="20"/>
                <w:szCs w:val="20"/>
              </w:rPr>
              <w:t xml:space="preserve">in the technology sector. 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33E6613C" w14:textId="77777777" w:rsidR="007041FD" w:rsidRDefault="007041FD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4D4E3B4C" w14:textId="33753E5E" w:rsidR="00EE06D1" w:rsidRPr="00B02EC1" w:rsidRDefault="00EE06D1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570790E6" w14:textId="70CFA712" w:rsidR="00332BC3" w:rsidRDefault="008E43EB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</w:t>
            </w:r>
            <w:r w:rsidR="00332BC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how technology has transformed </w:t>
            </w:r>
            <w:r w:rsidR="00227C8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our </w:t>
            </w:r>
            <w:r w:rsidR="00332BC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everyday life.</w:t>
            </w:r>
          </w:p>
          <w:p w14:paraId="0BFAEE8C" w14:textId="401FAC96" w:rsidR="00ED66A0" w:rsidRPr="00ED66A0" w:rsidRDefault="00ED66A0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advantages and disadvantages of internet in </w:t>
            </w:r>
            <w:proofErr w:type="gramStart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society</w:t>
            </w:r>
            <w:proofErr w:type="gramEnd"/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</w:p>
          <w:p w14:paraId="2D891206" w14:textId="3B014E02" w:rsidR="00B35809" w:rsidRDefault="00B35809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use of technology</w:t>
            </w:r>
            <w:r w:rsidR="00FA79B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in various sectors (research, </w:t>
            </w:r>
            <w:proofErr w:type="gramStart"/>
            <w:r w:rsidR="00FA79B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education,…</w:t>
            </w:r>
            <w:proofErr w:type="gramEnd"/>
            <w:r w:rsidR="00FA79B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)</w:t>
            </w:r>
          </w:p>
          <w:p w14:paraId="1585D4FB" w14:textId="651035FA" w:rsidR="00624581" w:rsidRDefault="00F278C4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dangers of technology such as cyberbullying</w:t>
            </w:r>
            <w:r w:rsidR="009029A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, fraud, piracy, </w:t>
            </w:r>
            <w:proofErr w:type="gramStart"/>
            <w:r w:rsidR="009029A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cyberterrorism,…</w:t>
            </w:r>
            <w:proofErr w:type="gramEnd"/>
          </w:p>
          <w:p w14:paraId="2FCF435E" w14:textId="58A08422" w:rsidR="00D42557" w:rsidRPr="0054149A" w:rsidRDefault="009029AC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what is done by governments and individuals </w:t>
            </w:r>
            <w:r w:rsidR="00ED66A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combat</w:t>
            </w: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 those dangers</w:t>
            </w:r>
            <w:r w:rsidR="00ED66A0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.</w:t>
            </w:r>
          </w:p>
          <w:p w14:paraId="3DCE2368" w14:textId="470B1BD8" w:rsidR="00675568" w:rsidRPr="006B1C55" w:rsidRDefault="00675568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most Social Networks in </w:t>
            </w:r>
            <w:r w:rsidR="00F73CD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France and francophone countries.</w:t>
            </w:r>
          </w:p>
          <w:p w14:paraId="411E00CA" w14:textId="25519DEF" w:rsidR="00C35408" w:rsidRPr="006B1C55" w:rsidRDefault="00C35408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6B1C55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advantages and disadvantages of Social Networks</w:t>
            </w:r>
            <w:r w:rsidR="0073497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.</w:t>
            </w:r>
          </w:p>
          <w:p w14:paraId="2096EB50" w14:textId="4724A281" w:rsidR="00C35408" w:rsidRDefault="00676100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Consider and discuss the different users of digital technology</w:t>
            </w:r>
            <w:r w:rsidR="0073497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.</w:t>
            </w:r>
          </w:p>
          <w:p w14:paraId="3C2BB0F9" w14:textId="631672E1" w:rsidR="00676100" w:rsidRDefault="00676100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</w:t>
            </w:r>
            <w:r w:rsidR="0073497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the different uses of technology by different users.</w:t>
            </w:r>
          </w:p>
          <w:p w14:paraId="568772F2" w14:textId="7E870AC6" w:rsidR="0073497F" w:rsidRPr="006B1C55" w:rsidRDefault="004F40F6" w:rsidP="004F40F6">
            <w:pPr>
              <w:pStyle w:val="ListParagraph"/>
              <w:numPr>
                <w:ilvl w:val="0"/>
                <w:numId w:val="2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possible future developments of technology.</w:t>
            </w:r>
          </w:p>
          <w:p w14:paraId="7A592F10" w14:textId="77777777" w:rsidR="007110BB" w:rsidRDefault="007110BB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972A1" w14:textId="77777777" w:rsidR="0024473C" w:rsidRDefault="0024473C" w:rsidP="00C40517">
      <w:r>
        <w:separator/>
      </w:r>
    </w:p>
  </w:endnote>
  <w:endnote w:type="continuationSeparator" w:id="0">
    <w:p w14:paraId="5A8FAA99" w14:textId="77777777" w:rsidR="0024473C" w:rsidRDefault="0024473C" w:rsidP="00C40517">
      <w:r>
        <w:continuationSeparator/>
      </w:r>
    </w:p>
  </w:endnote>
  <w:endnote w:type="continuationNotice" w:id="1">
    <w:p w14:paraId="4A226CD1" w14:textId="77777777" w:rsidR="0024473C" w:rsidRDefault="00244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E1617" w14:textId="77777777" w:rsidR="0024473C" w:rsidRDefault="0024473C" w:rsidP="00C40517">
      <w:r>
        <w:separator/>
      </w:r>
    </w:p>
  </w:footnote>
  <w:footnote w:type="continuationSeparator" w:id="0">
    <w:p w14:paraId="1AC6414D" w14:textId="77777777" w:rsidR="0024473C" w:rsidRDefault="0024473C" w:rsidP="00C40517">
      <w:r>
        <w:continuationSeparator/>
      </w:r>
    </w:p>
  </w:footnote>
  <w:footnote w:type="continuationNotice" w:id="1">
    <w:p w14:paraId="70FEC429" w14:textId="77777777" w:rsidR="0024473C" w:rsidRDefault="002447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F90"/>
    <w:rsid w:val="00072716"/>
    <w:rsid w:val="00073431"/>
    <w:rsid w:val="0007431D"/>
    <w:rsid w:val="00081294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27C8F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2BC3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40F6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149A"/>
    <w:rsid w:val="00542312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00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8C8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19F8"/>
    <w:rsid w:val="0073497F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6EFE"/>
    <w:rsid w:val="00892293"/>
    <w:rsid w:val="0089414D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6D55"/>
    <w:rsid w:val="00901BC7"/>
    <w:rsid w:val="009029AC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5809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690C"/>
    <w:rsid w:val="00C6485D"/>
    <w:rsid w:val="00C6777A"/>
    <w:rsid w:val="00C768E1"/>
    <w:rsid w:val="00C83E32"/>
    <w:rsid w:val="00C9039B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D66A0"/>
    <w:rsid w:val="00EE06D1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278C4"/>
    <w:rsid w:val="00F3142A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3CDF"/>
    <w:rsid w:val="00F7440C"/>
    <w:rsid w:val="00F74F13"/>
    <w:rsid w:val="00F811B6"/>
    <w:rsid w:val="00F818BA"/>
    <w:rsid w:val="00F82483"/>
    <w:rsid w:val="00F83839"/>
    <w:rsid w:val="00F86863"/>
    <w:rsid w:val="00F91340"/>
    <w:rsid w:val="00F956D8"/>
    <w:rsid w:val="00F97809"/>
    <w:rsid w:val="00FA2CB7"/>
    <w:rsid w:val="00FA79BD"/>
    <w:rsid w:val="00FB1D9D"/>
    <w:rsid w:val="00FB42A4"/>
    <w:rsid w:val="00FB4AC1"/>
    <w:rsid w:val="00FB6E32"/>
    <w:rsid w:val="00FB775F"/>
    <w:rsid w:val="00FC4487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3.xml><?xml version="1.0" encoding="utf-8"?>
<ds:datastoreItem xmlns:ds="http://schemas.openxmlformats.org/officeDocument/2006/customXml" ds:itemID="{96899FFC-49E6-4893-87CA-011A9C1EC002}"/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900</Words>
  <Characters>5134</Characters>
  <Application>Microsoft Office Word</Application>
  <DocSecurity>0</DocSecurity>
  <Lines>42</Lines>
  <Paragraphs>12</Paragraphs>
  <ScaleCrop>false</ScaleCrop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27</cp:revision>
  <cp:lastPrinted>2022-09-12T14:02:00Z</cp:lastPrinted>
  <dcterms:created xsi:type="dcterms:W3CDTF">2023-07-31T10:49:00Z</dcterms:created>
  <dcterms:modified xsi:type="dcterms:W3CDTF">2023-09-06T10:47:00Z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