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230F2" w14:textId="708F6B48" w:rsidR="005715A9" w:rsidRDefault="005715A9" w:rsidP="005715A9">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78208" behindDoc="0" locked="0" layoutInCell="1" allowOverlap="1" wp14:anchorId="5DCA2346" wp14:editId="2EB80C06">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b/>
          <w:bCs/>
          <w:sz w:val="44"/>
          <w:szCs w:val="44"/>
        </w:rPr>
        <w:t>Atomic Structure and Radioactivity</w:t>
      </w:r>
      <w:r w:rsidR="007F1536">
        <w:rPr>
          <w:rFonts w:asciiTheme="majorHAnsi" w:hAnsiTheme="majorHAnsi" w:cstheme="majorHAnsi"/>
          <w:b/>
          <w:bCs/>
          <w:sz w:val="44"/>
          <w:szCs w:val="44"/>
        </w:rPr>
        <w:t xml:space="preserve"> </w:t>
      </w:r>
      <w:r w:rsidR="007F1536" w:rsidRPr="007F1536">
        <w:rPr>
          <w:rFonts w:asciiTheme="majorHAnsi" w:hAnsiTheme="majorHAnsi" w:cstheme="majorHAnsi"/>
          <w:sz w:val="28"/>
          <w:szCs w:val="28"/>
        </w:rPr>
        <w:t>(Comb.)</w:t>
      </w:r>
    </w:p>
    <w:p w14:paraId="7F4F2968" w14:textId="56FBB58D" w:rsidR="00EF59FB" w:rsidRPr="00104230" w:rsidRDefault="005715A9">
      <w:pPr>
        <w:rPr>
          <w:rFonts w:cstheme="minorHAnsi"/>
          <w:sz w:val="28"/>
          <w:szCs w:val="28"/>
          <w:u w:val="single"/>
        </w:rPr>
      </w:pPr>
      <w:r w:rsidRPr="00CB2781">
        <w:rPr>
          <w:rFonts w:cstheme="minorHAnsi"/>
          <w:sz w:val="28"/>
          <w:szCs w:val="28"/>
        </w:rPr>
        <w:t>RAG your understanding</w:t>
      </w:r>
      <w:r>
        <w:rPr>
          <w:rFonts w:cstheme="minorHAnsi"/>
          <w:sz w:val="28"/>
          <w:szCs w:val="28"/>
        </w:rPr>
        <w:t>.</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1"/>
        <w:gridCol w:w="945"/>
        <w:gridCol w:w="987"/>
        <w:gridCol w:w="984"/>
      </w:tblGrid>
      <w:tr w:rsidR="00BE373F" w:rsidRPr="00764FC4" w14:paraId="3BA65C99" w14:textId="1833D52F" w:rsidTr="008B7844">
        <w:trPr>
          <w:trHeight w:val="823"/>
        </w:trPr>
        <w:tc>
          <w:tcPr>
            <w:tcW w:w="7711" w:type="dxa"/>
            <w:tcBorders>
              <w:top w:val="nil"/>
              <w:left w:val="nil"/>
            </w:tcBorders>
            <w:shd w:val="clear" w:color="auto" w:fill="FFFFFF" w:themeFill="background1"/>
            <w:vAlign w:val="center"/>
            <w:hideMark/>
          </w:tcPr>
          <w:p w14:paraId="6A9F7EEB" w14:textId="77777777" w:rsidR="00BE373F" w:rsidRPr="00764FC4" w:rsidRDefault="00BE373F" w:rsidP="00BE373F">
            <w:pPr>
              <w:spacing w:after="0" w:line="240" w:lineRule="auto"/>
              <w:jc w:val="center"/>
              <w:rPr>
                <w:rFonts w:ascii="Arial" w:eastAsia="Times New Roman" w:hAnsi="Arial" w:cs="Arial"/>
                <w:b/>
                <w:bCs/>
                <w:color w:val="333333"/>
                <w:lang w:eastAsia="en-GB"/>
              </w:rPr>
            </w:pPr>
          </w:p>
        </w:tc>
        <w:tc>
          <w:tcPr>
            <w:tcW w:w="945" w:type="dxa"/>
            <w:shd w:val="clear" w:color="auto" w:fill="FFFFFF" w:themeFill="background1"/>
            <w:vAlign w:val="center"/>
          </w:tcPr>
          <w:p w14:paraId="124C1F8B" w14:textId="6A2A857E" w:rsidR="00BE373F" w:rsidRDefault="00BE373F" w:rsidP="00BE373F">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987" w:type="dxa"/>
            <w:shd w:val="clear" w:color="auto" w:fill="FFFFFF" w:themeFill="background1"/>
            <w:vAlign w:val="center"/>
          </w:tcPr>
          <w:p w14:paraId="06D24159" w14:textId="2B9DF40C" w:rsidR="00BE373F" w:rsidRPr="00764FC4" w:rsidRDefault="00BE373F" w:rsidP="00BE373F">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984" w:type="dxa"/>
            <w:shd w:val="clear" w:color="auto" w:fill="FFFFFF" w:themeFill="background1"/>
            <w:vAlign w:val="center"/>
          </w:tcPr>
          <w:p w14:paraId="17861823" w14:textId="001187CC" w:rsidR="00BE373F" w:rsidRDefault="00BE373F" w:rsidP="00BE373F">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CB278B" w:rsidRPr="00764FC4" w14:paraId="0A971BF9" w14:textId="6B25FD47" w:rsidTr="008B7844">
        <w:tc>
          <w:tcPr>
            <w:tcW w:w="7711" w:type="dxa"/>
            <w:shd w:val="clear" w:color="auto" w:fill="FFFFFF" w:themeFill="background1"/>
            <w:vAlign w:val="center"/>
          </w:tcPr>
          <w:p w14:paraId="59E053E0" w14:textId="49A0F8C5" w:rsidR="00CB278B" w:rsidRPr="008B7844" w:rsidRDefault="00CB278B" w:rsidP="00024563">
            <w:pPr>
              <w:spacing w:after="0"/>
              <w:divId w:val="728263378"/>
              <w:rPr>
                <w:rFonts w:cstheme="minorHAnsi"/>
                <w:color w:val="333333"/>
              </w:rPr>
            </w:pPr>
            <w:r w:rsidRPr="008B7844">
              <w:rPr>
                <w:rFonts w:cstheme="minorHAnsi"/>
                <w:color w:val="333333"/>
              </w:rPr>
              <w:t>P.4.1.1.a</w:t>
            </w:r>
            <w:r w:rsidR="00BE373F" w:rsidRPr="008B7844">
              <w:rPr>
                <w:rFonts w:cstheme="minorHAnsi"/>
                <w:color w:val="333333"/>
              </w:rPr>
              <w:t>. -</w:t>
            </w:r>
            <w:r w:rsidRPr="008B7844">
              <w:rPr>
                <w:rFonts w:cstheme="minorHAnsi"/>
                <w:color w:val="333333"/>
              </w:rPr>
              <w:t xml:space="preserve"> I can describe the basic structure of an atom as a positively charged nucleus surrounded by negatively charged electrons at different distances from the nucleus, which vary with the absorption or emission of electromagnetic radiation</w:t>
            </w:r>
          </w:p>
        </w:tc>
        <w:tc>
          <w:tcPr>
            <w:tcW w:w="945" w:type="dxa"/>
            <w:shd w:val="clear" w:color="auto" w:fill="FFFFFF" w:themeFill="background1"/>
          </w:tcPr>
          <w:p w14:paraId="52EBF86D"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c>
          <w:tcPr>
            <w:tcW w:w="987" w:type="dxa"/>
            <w:shd w:val="clear" w:color="auto" w:fill="FFFFFF" w:themeFill="background1"/>
          </w:tcPr>
          <w:p w14:paraId="0C2D689A"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c>
          <w:tcPr>
            <w:tcW w:w="984" w:type="dxa"/>
            <w:shd w:val="clear" w:color="auto" w:fill="FFFFFF" w:themeFill="background1"/>
          </w:tcPr>
          <w:p w14:paraId="2B72825B"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r>
      <w:tr w:rsidR="00CB278B" w:rsidRPr="00764FC4" w14:paraId="0B54D082" w14:textId="71B021AD" w:rsidTr="008B7844">
        <w:tc>
          <w:tcPr>
            <w:tcW w:w="7711" w:type="dxa"/>
            <w:shd w:val="clear" w:color="auto" w:fill="FFFFFF" w:themeFill="background1"/>
            <w:vAlign w:val="center"/>
          </w:tcPr>
          <w:p w14:paraId="59ACF593" w14:textId="64542378" w:rsidR="00CB278B" w:rsidRPr="008B7844" w:rsidRDefault="00CB278B" w:rsidP="00024563">
            <w:pPr>
              <w:spacing w:after="0"/>
              <w:divId w:val="820268228"/>
              <w:rPr>
                <w:rFonts w:cstheme="minorHAnsi"/>
                <w:color w:val="333333"/>
              </w:rPr>
            </w:pPr>
            <w:r w:rsidRPr="008B7844">
              <w:rPr>
                <w:rFonts w:cstheme="minorHAnsi"/>
                <w:color w:val="333333"/>
              </w:rPr>
              <w:t>P.4.1.2.a</w:t>
            </w:r>
            <w:r w:rsidR="00BE373F" w:rsidRPr="008B7844">
              <w:rPr>
                <w:rFonts w:cstheme="minorHAnsi"/>
                <w:color w:val="333333"/>
              </w:rPr>
              <w:t>. -</w:t>
            </w:r>
            <w:r w:rsidRPr="008B7844">
              <w:rPr>
                <w:rFonts w:cstheme="minorHAnsi"/>
                <w:color w:val="333333"/>
              </w:rPr>
              <w:t xml:space="preserve"> I can state that the radius of a nucleus is less than 1/10000 of the radius of an atom.</w:t>
            </w:r>
          </w:p>
        </w:tc>
        <w:tc>
          <w:tcPr>
            <w:tcW w:w="945" w:type="dxa"/>
            <w:shd w:val="clear" w:color="auto" w:fill="FFFFFF" w:themeFill="background1"/>
          </w:tcPr>
          <w:p w14:paraId="666A8DB4"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c>
          <w:tcPr>
            <w:tcW w:w="987" w:type="dxa"/>
            <w:shd w:val="clear" w:color="auto" w:fill="FFFFFF" w:themeFill="background1"/>
          </w:tcPr>
          <w:p w14:paraId="29457434"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c>
          <w:tcPr>
            <w:tcW w:w="984" w:type="dxa"/>
            <w:shd w:val="clear" w:color="auto" w:fill="FFFFFF" w:themeFill="background1"/>
          </w:tcPr>
          <w:p w14:paraId="0D08DDB1" w14:textId="77777777" w:rsidR="00CB278B" w:rsidRPr="00BE373F" w:rsidRDefault="00CB278B" w:rsidP="00024563">
            <w:pPr>
              <w:spacing w:after="0" w:line="240" w:lineRule="auto"/>
              <w:ind w:firstLineChars="100" w:firstLine="220"/>
              <w:rPr>
                <w:rFonts w:eastAsia="Times New Roman" w:cstheme="minorHAnsi"/>
                <w:color w:val="333333"/>
                <w:lang w:eastAsia="en-GB"/>
              </w:rPr>
            </w:pPr>
          </w:p>
        </w:tc>
      </w:tr>
      <w:tr w:rsidR="00CB278B" w:rsidRPr="00764FC4" w14:paraId="0A5C80D3" w14:textId="4F48182E" w:rsidTr="008B7844">
        <w:tc>
          <w:tcPr>
            <w:tcW w:w="7711" w:type="dxa"/>
            <w:shd w:val="clear" w:color="auto" w:fill="FFFFFF" w:themeFill="background1"/>
            <w:vAlign w:val="center"/>
          </w:tcPr>
          <w:p w14:paraId="25F4A2A5" w14:textId="27955592" w:rsidR="00CB278B" w:rsidRPr="008B7844" w:rsidRDefault="00CB278B" w:rsidP="00024563">
            <w:pPr>
              <w:spacing w:after="0"/>
              <w:divId w:val="623316449"/>
              <w:rPr>
                <w:rFonts w:cstheme="minorHAnsi"/>
                <w:color w:val="333333"/>
              </w:rPr>
            </w:pPr>
            <w:r w:rsidRPr="008B7844">
              <w:rPr>
                <w:rFonts w:cstheme="minorHAnsi"/>
                <w:color w:val="333333"/>
              </w:rPr>
              <w:t>P.4.1.2.b</w:t>
            </w:r>
            <w:r w:rsidR="00BE373F" w:rsidRPr="008B7844">
              <w:rPr>
                <w:rFonts w:cstheme="minorHAnsi"/>
                <w:color w:val="333333"/>
              </w:rPr>
              <w:t>. -</w:t>
            </w:r>
            <w:r w:rsidRPr="008B7844">
              <w:rPr>
                <w:rFonts w:cstheme="minorHAnsi"/>
                <w:color w:val="333333"/>
              </w:rPr>
              <w:t xml:space="preserve"> I can relate differences between isotopes to differences in conventional representations of their identities, </w:t>
            </w:r>
            <w:proofErr w:type="gramStart"/>
            <w:r w:rsidRPr="008B7844">
              <w:rPr>
                <w:rFonts w:cstheme="minorHAnsi"/>
                <w:color w:val="333333"/>
              </w:rPr>
              <w:t>charges</w:t>
            </w:r>
            <w:proofErr w:type="gramEnd"/>
            <w:r w:rsidRPr="008B7844">
              <w:rPr>
                <w:rFonts w:cstheme="minorHAnsi"/>
                <w:color w:val="333333"/>
              </w:rPr>
              <w:t xml:space="preserve"> and masses</w:t>
            </w:r>
          </w:p>
        </w:tc>
        <w:tc>
          <w:tcPr>
            <w:tcW w:w="945" w:type="dxa"/>
            <w:shd w:val="clear" w:color="auto" w:fill="FFFFFF" w:themeFill="background1"/>
          </w:tcPr>
          <w:p w14:paraId="50E8C141" w14:textId="77777777" w:rsidR="00CB278B" w:rsidRPr="00BE373F" w:rsidRDefault="00CB278B" w:rsidP="00024563">
            <w:pPr>
              <w:spacing w:after="0" w:line="240" w:lineRule="auto"/>
              <w:jc w:val="center"/>
              <w:rPr>
                <w:rFonts w:eastAsia="Times New Roman" w:cstheme="minorHAnsi"/>
                <w:b/>
                <w:bCs/>
                <w:color w:val="333333"/>
                <w:lang w:eastAsia="en-GB"/>
              </w:rPr>
            </w:pPr>
          </w:p>
        </w:tc>
        <w:tc>
          <w:tcPr>
            <w:tcW w:w="987" w:type="dxa"/>
            <w:shd w:val="clear" w:color="auto" w:fill="FFFFFF" w:themeFill="background1"/>
          </w:tcPr>
          <w:p w14:paraId="1BFACEDB" w14:textId="77777777" w:rsidR="00CB278B" w:rsidRPr="00BE373F" w:rsidRDefault="00CB278B" w:rsidP="00024563">
            <w:pPr>
              <w:spacing w:after="0" w:line="240" w:lineRule="auto"/>
              <w:jc w:val="center"/>
              <w:rPr>
                <w:rFonts w:eastAsia="Times New Roman" w:cstheme="minorHAnsi"/>
                <w:b/>
                <w:bCs/>
                <w:color w:val="333333"/>
                <w:lang w:eastAsia="en-GB"/>
              </w:rPr>
            </w:pPr>
          </w:p>
        </w:tc>
        <w:tc>
          <w:tcPr>
            <w:tcW w:w="984" w:type="dxa"/>
            <w:shd w:val="clear" w:color="auto" w:fill="FFFFFF" w:themeFill="background1"/>
          </w:tcPr>
          <w:p w14:paraId="1BD46EE9" w14:textId="77777777" w:rsidR="00CB278B" w:rsidRPr="00BE373F" w:rsidRDefault="00CB278B" w:rsidP="00024563">
            <w:pPr>
              <w:spacing w:after="0" w:line="240" w:lineRule="auto"/>
              <w:jc w:val="center"/>
              <w:rPr>
                <w:rFonts w:eastAsia="Times New Roman" w:cstheme="minorHAnsi"/>
                <w:b/>
                <w:bCs/>
                <w:color w:val="333333"/>
                <w:lang w:eastAsia="en-GB"/>
              </w:rPr>
            </w:pPr>
          </w:p>
        </w:tc>
      </w:tr>
      <w:tr w:rsidR="00CB278B" w:rsidRPr="00764FC4" w14:paraId="5FE5AC16" w14:textId="5FC0BFAC" w:rsidTr="008B7844">
        <w:tc>
          <w:tcPr>
            <w:tcW w:w="7711" w:type="dxa"/>
            <w:shd w:val="clear" w:color="auto" w:fill="FFFFFF" w:themeFill="background1"/>
            <w:vAlign w:val="center"/>
          </w:tcPr>
          <w:p w14:paraId="1F44F429" w14:textId="3FFA7523" w:rsidR="00CB278B" w:rsidRPr="008B7844" w:rsidRDefault="00CB278B" w:rsidP="00024563">
            <w:pPr>
              <w:spacing w:after="0"/>
              <w:divId w:val="1809400910"/>
              <w:rPr>
                <w:rFonts w:cstheme="minorHAnsi"/>
                <w:color w:val="333333"/>
              </w:rPr>
            </w:pPr>
            <w:r w:rsidRPr="008B7844">
              <w:rPr>
                <w:rFonts w:cstheme="minorHAnsi"/>
                <w:color w:val="333333"/>
              </w:rPr>
              <w:t>P.4.1.3.a</w:t>
            </w:r>
            <w:r w:rsidR="00BE373F" w:rsidRPr="008B7844">
              <w:rPr>
                <w:rFonts w:cstheme="minorHAnsi"/>
                <w:color w:val="333333"/>
              </w:rPr>
              <w:t>. -</w:t>
            </w:r>
            <w:r w:rsidRPr="008B7844">
              <w:rPr>
                <w:rFonts w:cstheme="minorHAnsi"/>
                <w:color w:val="333333"/>
              </w:rPr>
              <w:t xml:space="preserve"> I can describe why the evidence from Rutherford’s scattering experiment led to a change in the atomic model, describing differences between the plum pudding model of the atom and the nuclear model of the atom</w:t>
            </w:r>
          </w:p>
        </w:tc>
        <w:tc>
          <w:tcPr>
            <w:tcW w:w="945" w:type="dxa"/>
            <w:shd w:val="clear" w:color="auto" w:fill="FFFFFF" w:themeFill="background1"/>
          </w:tcPr>
          <w:p w14:paraId="43B40DBE"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026D0ECA"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0086032E"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613263ED" w14:textId="26348F52" w:rsidTr="008B7844">
        <w:tc>
          <w:tcPr>
            <w:tcW w:w="7711" w:type="dxa"/>
            <w:shd w:val="clear" w:color="auto" w:fill="FFFFFF" w:themeFill="background1"/>
            <w:vAlign w:val="center"/>
          </w:tcPr>
          <w:p w14:paraId="178ECA4D" w14:textId="77036C5E" w:rsidR="00CB278B" w:rsidRPr="008B7844" w:rsidRDefault="00CB278B" w:rsidP="00024563">
            <w:pPr>
              <w:spacing w:after="0"/>
              <w:divId w:val="40056841"/>
              <w:rPr>
                <w:rFonts w:cstheme="minorHAnsi"/>
                <w:color w:val="333333"/>
              </w:rPr>
            </w:pPr>
            <w:r w:rsidRPr="008B7844">
              <w:rPr>
                <w:rFonts w:cstheme="minorHAnsi"/>
                <w:color w:val="333333"/>
              </w:rPr>
              <w:t>P.4.2.1.a</w:t>
            </w:r>
            <w:r w:rsidR="00BE373F" w:rsidRPr="008B7844">
              <w:rPr>
                <w:rFonts w:cstheme="minorHAnsi"/>
                <w:color w:val="333333"/>
              </w:rPr>
              <w:t>. -</w:t>
            </w:r>
            <w:r w:rsidRPr="008B7844">
              <w:rPr>
                <w:rFonts w:cstheme="minorHAnsi"/>
                <w:color w:val="333333"/>
              </w:rPr>
              <w:t xml:space="preserve"> I can describe and apply the idea that the activity of a radioactive source is the rate at which its unstable nuclei decay, measured in becquerel (</w:t>
            </w:r>
            <w:proofErr w:type="spellStart"/>
            <w:r w:rsidRPr="008B7844">
              <w:rPr>
                <w:rFonts w:cstheme="minorHAnsi"/>
                <w:color w:val="333333"/>
              </w:rPr>
              <w:t>Bq</w:t>
            </w:r>
            <w:proofErr w:type="spellEnd"/>
            <w:r w:rsidRPr="008B7844">
              <w:rPr>
                <w:rFonts w:cstheme="minorHAnsi"/>
                <w:color w:val="333333"/>
              </w:rPr>
              <w:t>), or counts per second, by a Geiger-Muller tube</w:t>
            </w:r>
          </w:p>
        </w:tc>
        <w:tc>
          <w:tcPr>
            <w:tcW w:w="945" w:type="dxa"/>
            <w:shd w:val="clear" w:color="auto" w:fill="FFFFFF" w:themeFill="background1"/>
          </w:tcPr>
          <w:p w14:paraId="6F6E45EB"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2CD9D7E7"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496AF7E8"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1188B5FC" w14:textId="596D019C" w:rsidTr="008B7844">
        <w:tc>
          <w:tcPr>
            <w:tcW w:w="7711" w:type="dxa"/>
            <w:shd w:val="clear" w:color="auto" w:fill="FFFFFF" w:themeFill="background1"/>
            <w:vAlign w:val="center"/>
          </w:tcPr>
          <w:p w14:paraId="302F2D1C" w14:textId="16BF1F7B" w:rsidR="00CB278B" w:rsidRPr="008B7844" w:rsidRDefault="00CB278B" w:rsidP="00024563">
            <w:pPr>
              <w:spacing w:after="0"/>
              <w:divId w:val="1417283858"/>
              <w:rPr>
                <w:rFonts w:cstheme="minorHAnsi"/>
                <w:color w:val="333333"/>
              </w:rPr>
            </w:pPr>
            <w:r w:rsidRPr="008B7844">
              <w:rPr>
                <w:rFonts w:cstheme="minorHAnsi"/>
                <w:color w:val="333333"/>
              </w:rPr>
              <w:t>P.4.2.1.b</w:t>
            </w:r>
            <w:r w:rsidR="00BE373F" w:rsidRPr="008B7844">
              <w:rPr>
                <w:rFonts w:cstheme="minorHAnsi"/>
                <w:color w:val="333333"/>
              </w:rPr>
              <w:t>. -</w:t>
            </w:r>
            <w:r w:rsidRPr="008B7844">
              <w:rPr>
                <w:rFonts w:cstheme="minorHAnsi"/>
                <w:color w:val="333333"/>
              </w:rPr>
              <w:t xml:space="preserve"> I can describe the penetration through materials, the range in air and the ionising power for alpha particles, beta particles and gamma rays</w:t>
            </w:r>
          </w:p>
        </w:tc>
        <w:tc>
          <w:tcPr>
            <w:tcW w:w="945" w:type="dxa"/>
            <w:shd w:val="clear" w:color="auto" w:fill="FFFFFF" w:themeFill="background1"/>
          </w:tcPr>
          <w:p w14:paraId="6D468AE2"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310F40A0"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45E3A200"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07028A33" w14:textId="54B2658C" w:rsidTr="008B7844">
        <w:tc>
          <w:tcPr>
            <w:tcW w:w="7711" w:type="dxa"/>
            <w:shd w:val="clear" w:color="auto" w:fill="FFFFFF" w:themeFill="background1"/>
            <w:vAlign w:val="center"/>
          </w:tcPr>
          <w:p w14:paraId="440A548D" w14:textId="48F11216" w:rsidR="00CB278B" w:rsidRPr="008B7844" w:rsidRDefault="00CB278B" w:rsidP="00024563">
            <w:pPr>
              <w:spacing w:after="0"/>
              <w:rPr>
                <w:rFonts w:cstheme="minorHAnsi"/>
                <w:color w:val="333333"/>
              </w:rPr>
            </w:pPr>
            <w:r w:rsidRPr="008B7844">
              <w:rPr>
                <w:rFonts w:cstheme="minorHAnsi"/>
                <w:color w:val="333333"/>
              </w:rPr>
              <w:t>P.4.2.1.c</w:t>
            </w:r>
            <w:r w:rsidR="00BE373F" w:rsidRPr="008B7844">
              <w:rPr>
                <w:rFonts w:cstheme="minorHAnsi"/>
                <w:color w:val="333333"/>
              </w:rPr>
              <w:t>. -</w:t>
            </w:r>
            <w:r w:rsidRPr="008B7844">
              <w:rPr>
                <w:rFonts w:cstheme="minorHAnsi"/>
                <w:color w:val="333333"/>
              </w:rPr>
              <w:t xml:space="preserve"> I can apply knowledge of the uses of radiation to evaluate the best sources of radiation to use </w:t>
            </w:r>
            <w:proofErr w:type="gramStart"/>
            <w:r w:rsidRPr="008B7844">
              <w:rPr>
                <w:rFonts w:cstheme="minorHAnsi"/>
                <w:color w:val="333333"/>
              </w:rPr>
              <w:t>in a given</w:t>
            </w:r>
            <w:proofErr w:type="gramEnd"/>
            <w:r w:rsidRPr="008B7844">
              <w:rPr>
                <w:rFonts w:cstheme="minorHAnsi"/>
                <w:color w:val="333333"/>
              </w:rPr>
              <w:t xml:space="preserve"> situation</w:t>
            </w:r>
          </w:p>
        </w:tc>
        <w:tc>
          <w:tcPr>
            <w:tcW w:w="945" w:type="dxa"/>
            <w:shd w:val="clear" w:color="auto" w:fill="FFFFFF" w:themeFill="background1"/>
          </w:tcPr>
          <w:p w14:paraId="3B7AA6B7"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16B67C3D"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5AEE7D4E"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2127C7FC" w14:textId="1A6F9964" w:rsidTr="008B7844">
        <w:tc>
          <w:tcPr>
            <w:tcW w:w="7711" w:type="dxa"/>
            <w:shd w:val="clear" w:color="auto" w:fill="FFFFFF" w:themeFill="background1"/>
            <w:vAlign w:val="center"/>
          </w:tcPr>
          <w:p w14:paraId="652D63FE" w14:textId="35FC4976" w:rsidR="00CB278B" w:rsidRPr="008B7844" w:rsidRDefault="00CB278B" w:rsidP="00024563">
            <w:pPr>
              <w:spacing w:after="0"/>
              <w:rPr>
                <w:rFonts w:cstheme="minorHAnsi"/>
                <w:color w:val="333333"/>
              </w:rPr>
            </w:pPr>
            <w:r w:rsidRPr="008B7844">
              <w:rPr>
                <w:rFonts w:cstheme="minorHAnsi"/>
                <w:color w:val="333333"/>
              </w:rPr>
              <w:t>P.4.2.2.a</w:t>
            </w:r>
            <w:r w:rsidR="00BE373F" w:rsidRPr="008B7844">
              <w:rPr>
                <w:rFonts w:cstheme="minorHAnsi"/>
                <w:color w:val="333333"/>
              </w:rPr>
              <w:t>. -</w:t>
            </w:r>
            <w:r w:rsidRPr="008B7844">
              <w:rPr>
                <w:rFonts w:cstheme="minorHAnsi"/>
                <w:color w:val="333333"/>
              </w:rPr>
              <w:t xml:space="preserve"> I can use the names and symbols of common nuclei and particles to complete balanced nuclear equations, by balancing the atomic numbers and mass numbers</w:t>
            </w:r>
          </w:p>
        </w:tc>
        <w:tc>
          <w:tcPr>
            <w:tcW w:w="945" w:type="dxa"/>
            <w:shd w:val="clear" w:color="auto" w:fill="FFFFFF" w:themeFill="background1"/>
          </w:tcPr>
          <w:p w14:paraId="332FB362"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26EEAD9D"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465C4182"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118EAFD7" w14:textId="170BABB1" w:rsidTr="008B7844">
        <w:tc>
          <w:tcPr>
            <w:tcW w:w="7711" w:type="dxa"/>
            <w:shd w:val="clear" w:color="auto" w:fill="FFFFFF" w:themeFill="background1"/>
            <w:vAlign w:val="center"/>
          </w:tcPr>
          <w:p w14:paraId="46E30E3A" w14:textId="6A922F05" w:rsidR="00CB278B" w:rsidRPr="008B7844" w:rsidRDefault="00CB278B" w:rsidP="00024563">
            <w:pPr>
              <w:spacing w:after="0"/>
              <w:rPr>
                <w:rFonts w:cstheme="minorHAnsi"/>
                <w:color w:val="333333"/>
              </w:rPr>
            </w:pPr>
            <w:r w:rsidRPr="008B7844">
              <w:rPr>
                <w:rFonts w:cstheme="minorHAnsi"/>
                <w:color w:val="333333"/>
              </w:rPr>
              <w:t>P.4.2.3.b (HT)</w:t>
            </w:r>
            <w:r w:rsidR="00BE373F" w:rsidRPr="008B7844">
              <w:rPr>
                <w:rFonts w:cstheme="minorHAnsi"/>
                <w:color w:val="333333"/>
              </w:rPr>
              <w:t xml:space="preserve"> </w:t>
            </w:r>
            <w:proofErr w:type="gramStart"/>
            <w:r w:rsidR="00BE373F" w:rsidRPr="008B7844">
              <w:rPr>
                <w:rFonts w:cstheme="minorHAnsi"/>
                <w:color w:val="333333"/>
              </w:rPr>
              <w:t xml:space="preserve">- </w:t>
            </w:r>
            <w:r w:rsidRPr="008B7844">
              <w:rPr>
                <w:rFonts w:cstheme="minorHAnsi"/>
                <w:color w:val="333333"/>
              </w:rPr>
              <w:t xml:space="preserve"> I</w:t>
            </w:r>
            <w:proofErr w:type="gramEnd"/>
            <w:r w:rsidRPr="008B7844">
              <w:rPr>
                <w:rFonts w:cstheme="minorHAnsi"/>
                <w:color w:val="333333"/>
              </w:rPr>
              <w:t xml:space="preserve"> can determine the half-life of a radioactive isotope from given information and calculate the net decline, expressed as a ratio, in a radioactive emission after a given number of half-lives</w:t>
            </w:r>
          </w:p>
        </w:tc>
        <w:tc>
          <w:tcPr>
            <w:tcW w:w="945" w:type="dxa"/>
            <w:shd w:val="clear" w:color="auto" w:fill="FFFFFF" w:themeFill="background1"/>
          </w:tcPr>
          <w:p w14:paraId="04417FB3"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71B9947F"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35C65AE0"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766CFC28" w14:textId="34C6352A" w:rsidTr="008B7844">
        <w:tc>
          <w:tcPr>
            <w:tcW w:w="7711" w:type="dxa"/>
            <w:shd w:val="clear" w:color="auto" w:fill="FFFFFF" w:themeFill="background1"/>
            <w:vAlign w:val="center"/>
          </w:tcPr>
          <w:p w14:paraId="1BE68A96" w14:textId="0050C419" w:rsidR="00CB278B" w:rsidRPr="008B7844" w:rsidRDefault="00CB278B" w:rsidP="00024563">
            <w:pPr>
              <w:spacing w:after="0"/>
              <w:rPr>
                <w:rFonts w:cstheme="minorHAnsi"/>
                <w:color w:val="333333"/>
              </w:rPr>
            </w:pPr>
            <w:r w:rsidRPr="008B7844">
              <w:rPr>
                <w:rFonts w:cstheme="minorHAnsi"/>
                <w:color w:val="333333"/>
              </w:rPr>
              <w:t>P.4.2.4.a</w:t>
            </w:r>
            <w:r w:rsidR="00BE373F" w:rsidRPr="008B7844">
              <w:rPr>
                <w:rFonts w:cstheme="minorHAnsi"/>
                <w:color w:val="333333"/>
              </w:rPr>
              <w:t>. -</w:t>
            </w:r>
            <w:r w:rsidRPr="008B7844">
              <w:rPr>
                <w:rFonts w:cstheme="minorHAnsi"/>
                <w:color w:val="333333"/>
              </w:rPr>
              <w:t xml:space="preserve"> I can compare the hazards associated with contamination and irradiation, and outline suitable precautions taken to protect against any hazard the radioactive sources may present</w:t>
            </w:r>
          </w:p>
        </w:tc>
        <w:tc>
          <w:tcPr>
            <w:tcW w:w="945" w:type="dxa"/>
            <w:shd w:val="clear" w:color="auto" w:fill="FFFFFF" w:themeFill="background1"/>
          </w:tcPr>
          <w:p w14:paraId="009C6860"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54E1D7B8"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32F2687F"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r w:rsidR="00CB278B" w:rsidRPr="00764FC4" w14:paraId="3D53F79E" w14:textId="70D1C893" w:rsidTr="008B7844">
        <w:tc>
          <w:tcPr>
            <w:tcW w:w="7711" w:type="dxa"/>
            <w:shd w:val="clear" w:color="auto" w:fill="FFFFFF" w:themeFill="background1"/>
            <w:vAlign w:val="center"/>
          </w:tcPr>
          <w:p w14:paraId="1D15F5F0" w14:textId="5A02D3F9" w:rsidR="00CB278B" w:rsidRPr="008B7844" w:rsidRDefault="00CB278B" w:rsidP="00024563">
            <w:pPr>
              <w:spacing w:after="0"/>
              <w:rPr>
                <w:rFonts w:cstheme="minorHAnsi"/>
                <w:color w:val="333333"/>
              </w:rPr>
            </w:pPr>
            <w:r w:rsidRPr="008B7844">
              <w:rPr>
                <w:rFonts w:cstheme="minorHAnsi"/>
                <w:color w:val="333333"/>
              </w:rPr>
              <w:t>P.4.2.4.b</w:t>
            </w:r>
            <w:r w:rsidR="00BE373F" w:rsidRPr="008B7844">
              <w:rPr>
                <w:rFonts w:cstheme="minorHAnsi"/>
                <w:color w:val="333333"/>
              </w:rPr>
              <w:t>. -</w:t>
            </w:r>
            <w:r w:rsidRPr="008B7844">
              <w:rPr>
                <w:rFonts w:cstheme="minorHAnsi"/>
                <w:color w:val="333333"/>
              </w:rPr>
              <w:t xml:space="preserve"> I can discuss the importance of publishing the findings of studies into the effects of radiation on humans, and sharing findings with other scientists so that they can be checked by peer review</w:t>
            </w:r>
          </w:p>
        </w:tc>
        <w:tc>
          <w:tcPr>
            <w:tcW w:w="945" w:type="dxa"/>
            <w:shd w:val="clear" w:color="auto" w:fill="FFFFFF" w:themeFill="background1"/>
          </w:tcPr>
          <w:p w14:paraId="5F9FBEFD"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7" w:type="dxa"/>
            <w:shd w:val="clear" w:color="auto" w:fill="FFFFFF" w:themeFill="background1"/>
          </w:tcPr>
          <w:p w14:paraId="49E6370E"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c>
          <w:tcPr>
            <w:tcW w:w="984" w:type="dxa"/>
            <w:shd w:val="clear" w:color="auto" w:fill="FFFFFF" w:themeFill="background1"/>
          </w:tcPr>
          <w:p w14:paraId="3B08A3EB" w14:textId="77777777" w:rsidR="00CB278B" w:rsidRPr="00BE373F" w:rsidRDefault="00CB278B" w:rsidP="00024563">
            <w:pPr>
              <w:spacing w:after="0" w:line="240" w:lineRule="auto"/>
              <w:ind w:firstLineChars="100" w:firstLine="220"/>
              <w:jc w:val="both"/>
              <w:rPr>
                <w:rFonts w:eastAsia="Times New Roman" w:cstheme="minorHAnsi"/>
                <w:color w:val="333333"/>
                <w:lang w:eastAsia="en-GB"/>
              </w:rPr>
            </w:pPr>
          </w:p>
        </w:tc>
      </w:tr>
    </w:tbl>
    <w:p w14:paraId="03FE819D" w14:textId="32D85898" w:rsidR="0079287C" w:rsidRDefault="0079287C" w:rsidP="00E32C29">
      <w:pPr>
        <w:rPr>
          <w:sz w:val="16"/>
        </w:rPr>
      </w:pPr>
    </w:p>
    <w:p w14:paraId="30CB85E1" w14:textId="53D5B3BE" w:rsidR="00706C98" w:rsidRPr="00CC046A" w:rsidRDefault="00706C98" w:rsidP="00E32C29">
      <w:pPr>
        <w:rPr>
          <w:b/>
          <w:bCs/>
          <w:sz w:val="24"/>
          <w:szCs w:val="36"/>
        </w:rPr>
      </w:pPr>
    </w:p>
    <w:sectPr w:rsidR="00706C98" w:rsidRPr="00CC046A"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4721720">
    <w:abstractNumId w:val="1"/>
  </w:num>
  <w:num w:numId="2" w16cid:durableId="1384989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24563"/>
    <w:rsid w:val="00104230"/>
    <w:rsid w:val="00247413"/>
    <w:rsid w:val="002D3CFB"/>
    <w:rsid w:val="00400BFC"/>
    <w:rsid w:val="004A60BD"/>
    <w:rsid w:val="004B0E6C"/>
    <w:rsid w:val="004F19A5"/>
    <w:rsid w:val="0054487F"/>
    <w:rsid w:val="005715A9"/>
    <w:rsid w:val="006B7A83"/>
    <w:rsid w:val="006E1B6F"/>
    <w:rsid w:val="00706C98"/>
    <w:rsid w:val="00764FC4"/>
    <w:rsid w:val="0079287C"/>
    <w:rsid w:val="007B53D1"/>
    <w:rsid w:val="007C6838"/>
    <w:rsid w:val="007F1536"/>
    <w:rsid w:val="008B7844"/>
    <w:rsid w:val="00A96C21"/>
    <w:rsid w:val="00B57CCC"/>
    <w:rsid w:val="00BE373F"/>
    <w:rsid w:val="00CB278B"/>
    <w:rsid w:val="00CC046A"/>
    <w:rsid w:val="00CC080E"/>
    <w:rsid w:val="00E32C29"/>
    <w:rsid w:val="00E918DD"/>
    <w:rsid w:val="00EF59FB"/>
    <w:rsid w:val="00F000B3"/>
    <w:rsid w:val="3902CA9C"/>
    <w:rsid w:val="498ACDA2"/>
    <w:rsid w:val="7FFDFB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822AE"/>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06C98"/>
    <w:rPr>
      <w:color w:val="0000FF"/>
      <w:u w:val="single"/>
    </w:rPr>
  </w:style>
  <w:style w:type="paragraph" w:styleId="BalloonText">
    <w:name w:val="Balloon Text"/>
    <w:basedOn w:val="Normal"/>
    <w:link w:val="BalloonTextChar"/>
    <w:uiPriority w:val="99"/>
    <w:semiHidden/>
    <w:unhideWhenUsed/>
    <w:rsid w:val="00EF5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9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64187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1622A2-A0BC-4A94-AE24-891F05EEC7CC}">
  <ds:schemaRefs>
    <ds:schemaRef ds:uri="http://www.w3.org/XML/1998/namespace"/>
    <ds:schemaRef ds:uri="http://schemas.microsoft.com/office/2006/metadata/properties"/>
    <ds:schemaRef ds:uri="http://schemas.microsoft.com/office/2006/documentManagement/types"/>
    <ds:schemaRef ds:uri="http://purl.org/dc/dcmitype/"/>
    <ds:schemaRef ds:uri="http://purl.org/dc/terms/"/>
    <ds:schemaRef ds:uri="f9f3fc6a-379d-49a6-8bdb-4b98072be12c"/>
    <ds:schemaRef ds:uri="http://purl.org/dc/elements/1.1/"/>
    <ds:schemaRef ds:uri="http://schemas.microsoft.com/office/infopath/2007/PartnerControls"/>
    <ds:schemaRef ds:uri="http://schemas.openxmlformats.org/package/2006/metadata/core-properties"/>
    <ds:schemaRef ds:uri="8a23623e-5300-49d9-8f3f-bc4801aa02e8"/>
  </ds:schemaRefs>
</ds:datastoreItem>
</file>

<file path=customXml/itemProps2.xml><?xml version="1.0" encoding="utf-8"?>
<ds:datastoreItem xmlns:ds="http://schemas.openxmlformats.org/officeDocument/2006/customXml" ds:itemID="{BCF1AF4D-A40D-4AB2-A76F-603C1EF54A60}"/>
</file>

<file path=customXml/itemProps3.xml><?xml version="1.0" encoding="utf-8"?>
<ds:datastoreItem xmlns:ds="http://schemas.openxmlformats.org/officeDocument/2006/customXml" ds:itemID="{F820DA88-FEEA-4D36-B6DE-711A6BE33C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12</cp:revision>
  <dcterms:created xsi:type="dcterms:W3CDTF">2020-09-11T09:48:00Z</dcterms:created>
  <dcterms:modified xsi:type="dcterms:W3CDTF">2022-08-21T07:45:00Z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