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D8F6" w14:textId="74907A03" w:rsidR="00696209" w:rsidRDefault="00696209" w:rsidP="00696209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D85EAA" wp14:editId="3DB472EE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>Pressure in Fluids</w:t>
      </w:r>
      <w:r w:rsidR="00714D0C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714D0C" w:rsidRPr="00635C75">
        <w:rPr>
          <w:rFonts w:asciiTheme="majorHAnsi" w:hAnsiTheme="majorHAnsi" w:cstheme="majorHAnsi"/>
          <w:sz w:val="28"/>
          <w:szCs w:val="28"/>
        </w:rPr>
        <w:t>(P</w:t>
      </w:r>
      <w:r w:rsidR="00635C75" w:rsidRPr="00635C75">
        <w:rPr>
          <w:rFonts w:asciiTheme="majorHAnsi" w:hAnsiTheme="majorHAnsi" w:cstheme="majorHAnsi"/>
          <w:sz w:val="28"/>
          <w:szCs w:val="28"/>
        </w:rPr>
        <w:t>hys</w:t>
      </w:r>
      <w:r w:rsidR="00714D0C" w:rsidRPr="00635C75">
        <w:rPr>
          <w:rFonts w:asciiTheme="majorHAnsi" w:hAnsiTheme="majorHAnsi" w:cstheme="majorHAnsi"/>
          <w:sz w:val="28"/>
          <w:szCs w:val="28"/>
        </w:rPr>
        <w:t>)</w:t>
      </w:r>
    </w:p>
    <w:p w14:paraId="092A179C" w14:textId="77777777" w:rsidR="00696209" w:rsidRPr="00CB2781" w:rsidRDefault="00696209" w:rsidP="00696209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549B80C1" w14:textId="6C644BDC" w:rsidR="00A60824" w:rsidRDefault="00A60824">
      <w:pPr>
        <w:rPr>
          <w:b/>
          <w:sz w:val="32"/>
          <w:u w:val="single"/>
        </w:rPr>
      </w:pPr>
    </w:p>
    <w:p w14:paraId="696145BB" w14:textId="53BD0C0C" w:rsidR="00A60824" w:rsidRDefault="00A60824">
      <w:pPr>
        <w:rPr>
          <w:b/>
          <w:sz w:val="32"/>
          <w:u w:val="single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5"/>
        <w:gridCol w:w="1025"/>
        <w:gridCol w:w="992"/>
        <w:gridCol w:w="984"/>
      </w:tblGrid>
      <w:tr w:rsidR="00714D0C" w:rsidRPr="00764FC4" w14:paraId="19D84396" w14:textId="4365D659" w:rsidTr="00714D0C">
        <w:trPr>
          <w:trHeight w:val="823"/>
        </w:trPr>
        <w:tc>
          <w:tcPr>
            <w:tcW w:w="7479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580E71A0" w14:textId="77777777" w:rsidR="00714D0C" w:rsidRPr="00764FC4" w:rsidRDefault="00714D0C" w:rsidP="00714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477F2520" w14:textId="565DA432" w:rsidR="00714D0C" w:rsidRDefault="00714D0C" w:rsidP="00714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AFC328" w14:textId="473F8FD3" w:rsidR="00714D0C" w:rsidRPr="00764FC4" w:rsidRDefault="00714D0C" w:rsidP="00714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58" w:type="dxa"/>
            <w:shd w:val="clear" w:color="auto" w:fill="FFFFFF" w:themeFill="background1"/>
            <w:vAlign w:val="center"/>
          </w:tcPr>
          <w:p w14:paraId="34DCF8E3" w14:textId="220D5865" w:rsidR="00714D0C" w:rsidRDefault="00714D0C" w:rsidP="00714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93034B" w:rsidRPr="00764FC4" w14:paraId="596C5EB3" w14:textId="2E750F75" w:rsidTr="00714D0C">
        <w:trPr>
          <w:trHeight w:val="481"/>
        </w:trPr>
        <w:tc>
          <w:tcPr>
            <w:tcW w:w="7479" w:type="dxa"/>
            <w:shd w:val="clear" w:color="auto" w:fill="D9D9D9" w:themeFill="background1" w:themeFillShade="D9"/>
            <w:vAlign w:val="center"/>
          </w:tcPr>
          <w:p w14:paraId="55DEA7E3" w14:textId="3B332343" w:rsidR="0093034B" w:rsidRPr="00714D0C" w:rsidRDefault="0093034B" w:rsidP="00450963">
            <w:pPr>
              <w:rPr>
                <w:rFonts w:cstheme="minorHAnsi"/>
                <w:b/>
                <w:bCs/>
                <w:color w:val="333333"/>
              </w:rPr>
            </w:pPr>
            <w:r w:rsidRPr="00714D0C">
              <w:rPr>
                <w:rFonts w:cstheme="minorHAnsi"/>
                <w:b/>
                <w:bCs/>
                <w:color w:val="333333"/>
              </w:rPr>
              <w:t xml:space="preserve">5.5 Pressure and pressure differences in fluids </w:t>
            </w:r>
            <w:r w:rsidR="00714D0C">
              <w:rPr>
                <w:rFonts w:cstheme="minorHAnsi"/>
                <w:b/>
                <w:bCs/>
                <w:color w:val="333333"/>
              </w:rPr>
              <w:t>(P</w:t>
            </w:r>
            <w:r w:rsidRPr="00714D0C">
              <w:rPr>
                <w:rFonts w:cstheme="minorHAnsi"/>
                <w:b/>
                <w:bCs/>
                <w:color w:val="333333"/>
              </w:rPr>
              <w:t>hysics only)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14:paraId="6F5B76BF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094B6BB1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D9D9D9" w:themeFill="background1" w:themeFillShade="D9"/>
          </w:tcPr>
          <w:p w14:paraId="5BDEC262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93034B" w:rsidRPr="00764FC4" w14:paraId="2B60513F" w14:textId="6D50E304" w:rsidTr="00714D0C">
        <w:trPr>
          <w:trHeight w:val="1174"/>
        </w:trPr>
        <w:tc>
          <w:tcPr>
            <w:tcW w:w="7479" w:type="dxa"/>
            <w:shd w:val="clear" w:color="auto" w:fill="FFFFFF" w:themeFill="background1"/>
            <w:vAlign w:val="center"/>
          </w:tcPr>
          <w:p w14:paraId="08F5C1A0" w14:textId="4FD84AAF" w:rsidR="0093034B" w:rsidRPr="00714D0C" w:rsidRDefault="0093034B" w:rsidP="00450963">
            <w:pPr>
              <w:divId w:val="728263378"/>
              <w:rPr>
                <w:rFonts w:cstheme="minorHAnsi"/>
                <w:bCs/>
                <w:iCs/>
                <w:color w:val="333333"/>
              </w:rPr>
            </w:pPr>
            <w:r w:rsidRPr="00714D0C">
              <w:rPr>
                <w:rFonts w:cstheme="minorHAnsi"/>
                <w:bCs/>
                <w:iCs/>
                <w:color w:val="333333"/>
              </w:rPr>
              <w:t xml:space="preserve">P.5.5.1.a </w:t>
            </w:r>
            <w:r w:rsidR="00714D0C">
              <w:rPr>
                <w:rFonts w:cstheme="minorHAnsi"/>
                <w:bCs/>
                <w:iCs/>
                <w:color w:val="333333"/>
              </w:rPr>
              <w:t xml:space="preserve">- </w:t>
            </w:r>
            <w:r w:rsidRPr="00714D0C">
              <w:rPr>
                <w:rFonts w:cstheme="minorHAnsi"/>
                <w:bCs/>
                <w:iCs/>
                <w:color w:val="333333"/>
              </w:rPr>
              <w:t>I can describe a fluid as either a liquid or a gas and explain that the pressure in a fluid causes a force to act at right angles (normal) to the surface of its container</w:t>
            </w:r>
          </w:p>
        </w:tc>
        <w:tc>
          <w:tcPr>
            <w:tcW w:w="1026" w:type="dxa"/>
            <w:shd w:val="clear" w:color="auto" w:fill="FFFFFF" w:themeFill="background1"/>
          </w:tcPr>
          <w:p w14:paraId="729ACEB7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4BBA092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FFFFFF" w:themeFill="background1"/>
          </w:tcPr>
          <w:p w14:paraId="53220B2F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93034B" w:rsidRPr="00764FC4" w14:paraId="754070DC" w14:textId="191CC3DD" w:rsidTr="00714D0C">
        <w:trPr>
          <w:trHeight w:val="569"/>
        </w:trPr>
        <w:tc>
          <w:tcPr>
            <w:tcW w:w="7479" w:type="dxa"/>
            <w:shd w:val="clear" w:color="auto" w:fill="FFFFFF" w:themeFill="background1"/>
            <w:vAlign w:val="center"/>
          </w:tcPr>
          <w:p w14:paraId="5AAD1965" w14:textId="244B7519" w:rsidR="0093034B" w:rsidRPr="00714D0C" w:rsidRDefault="0093034B" w:rsidP="00450963">
            <w:pPr>
              <w:divId w:val="820268228"/>
              <w:rPr>
                <w:rFonts w:cstheme="minorHAnsi"/>
                <w:bCs/>
                <w:iCs/>
                <w:color w:val="333333"/>
              </w:rPr>
            </w:pPr>
            <w:r w:rsidRPr="00714D0C">
              <w:rPr>
                <w:rFonts w:cstheme="minorHAnsi"/>
                <w:bCs/>
                <w:iCs/>
                <w:color w:val="333333"/>
              </w:rPr>
              <w:t>P.5.5.1.b</w:t>
            </w:r>
            <w:r w:rsidR="00714D0C">
              <w:rPr>
                <w:rFonts w:cstheme="minorHAnsi"/>
                <w:bCs/>
                <w:iCs/>
                <w:color w:val="333333"/>
              </w:rPr>
              <w:t>. -</w:t>
            </w:r>
            <w:r w:rsidRPr="00714D0C">
              <w:rPr>
                <w:rFonts w:cstheme="minorHAnsi"/>
                <w:bCs/>
                <w:iCs/>
                <w:color w:val="333333"/>
              </w:rPr>
              <w:t xml:space="preserve"> I can recall and apply the equation: [ p = F/</w:t>
            </w:r>
            <w:proofErr w:type="gramStart"/>
            <w:r w:rsidRPr="00714D0C">
              <w:rPr>
                <w:rFonts w:cstheme="minorHAnsi"/>
                <w:bCs/>
                <w:iCs/>
                <w:color w:val="333333"/>
              </w:rPr>
              <w:t>A ]</w:t>
            </w:r>
            <w:proofErr w:type="gramEnd"/>
          </w:p>
        </w:tc>
        <w:tc>
          <w:tcPr>
            <w:tcW w:w="1026" w:type="dxa"/>
            <w:shd w:val="clear" w:color="auto" w:fill="FFFFFF" w:themeFill="background1"/>
          </w:tcPr>
          <w:p w14:paraId="57887F14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20AC192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FFFFFF" w:themeFill="background1"/>
          </w:tcPr>
          <w:p w14:paraId="7F92B652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93034B" w:rsidRPr="00764FC4" w14:paraId="465D0AEF" w14:textId="799373FA" w:rsidTr="00714D0C">
        <w:trPr>
          <w:trHeight w:val="410"/>
        </w:trPr>
        <w:tc>
          <w:tcPr>
            <w:tcW w:w="7479" w:type="dxa"/>
            <w:shd w:val="clear" w:color="auto" w:fill="auto"/>
            <w:vAlign w:val="center"/>
          </w:tcPr>
          <w:p w14:paraId="279D9DC3" w14:textId="3973A0FA" w:rsidR="0093034B" w:rsidRPr="00714D0C" w:rsidRDefault="0093034B" w:rsidP="00450963">
            <w:pPr>
              <w:divId w:val="623316449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P.5.5.1.c (HT) </w:t>
            </w:r>
            <w:r w:rsid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- </w:t>
            </w: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I can explain how and why the pressure in a fluid varies with depth and density of the fluid, and calculate the pressure due to a column of liquid by applying, but not recalling, the equation: [ p = h ρ </w:t>
            </w:r>
            <w:proofErr w:type="gramStart"/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>g ]</w:t>
            </w:r>
            <w:proofErr w:type="gramEnd"/>
          </w:p>
        </w:tc>
        <w:tc>
          <w:tcPr>
            <w:tcW w:w="1026" w:type="dxa"/>
            <w:shd w:val="clear" w:color="auto" w:fill="auto"/>
          </w:tcPr>
          <w:p w14:paraId="66698A62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auto"/>
          </w:tcPr>
          <w:p w14:paraId="0D592070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auto"/>
          </w:tcPr>
          <w:p w14:paraId="28D53ABA" w14:textId="77777777" w:rsidR="0093034B" w:rsidRPr="00764FC4" w:rsidRDefault="0093034B" w:rsidP="007B53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93034B" w:rsidRPr="00764FC4" w14:paraId="7B23FC3C" w14:textId="7EE6C2AF" w:rsidTr="00714D0C">
        <w:trPr>
          <w:trHeight w:val="1565"/>
        </w:trPr>
        <w:tc>
          <w:tcPr>
            <w:tcW w:w="7479" w:type="dxa"/>
            <w:shd w:val="clear" w:color="auto" w:fill="auto"/>
            <w:vAlign w:val="center"/>
          </w:tcPr>
          <w:p w14:paraId="112755F8" w14:textId="0449CBC4" w:rsidR="0093034B" w:rsidRPr="00714D0C" w:rsidRDefault="0093034B" w:rsidP="00450963">
            <w:pPr>
              <w:divId w:val="1809400910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>P.5.5.1.d (HT)</w:t>
            </w:r>
            <w:r w:rsid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 I can describe upthrust in terms of a greater pressure on the bottom surface of an object than on its top surface, and so explain why the density of the fluid </w:t>
            </w:r>
            <w:proofErr w:type="gramStart"/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>has an effect on</w:t>
            </w:r>
            <w:proofErr w:type="gramEnd"/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 the upthrust experienced by an object submerged in it</w:t>
            </w:r>
            <w:r w:rsidR="00714D0C">
              <w:rPr>
                <w:rFonts w:cstheme="minorHAnsi"/>
                <w:b/>
                <w:bCs/>
                <w:i/>
                <w:iCs/>
                <w:color w:val="333333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14:paraId="6E8D1813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auto"/>
          </w:tcPr>
          <w:p w14:paraId="0CD5DF97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auto"/>
          </w:tcPr>
          <w:p w14:paraId="75C7A78F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93034B" w:rsidRPr="00764FC4" w14:paraId="1B29DAFF" w14:textId="0EF8054F" w:rsidTr="00714D0C">
        <w:trPr>
          <w:trHeight w:val="968"/>
        </w:trPr>
        <w:tc>
          <w:tcPr>
            <w:tcW w:w="7479" w:type="dxa"/>
            <w:shd w:val="clear" w:color="auto" w:fill="auto"/>
            <w:vAlign w:val="center"/>
          </w:tcPr>
          <w:p w14:paraId="07A553D3" w14:textId="1E1AD67A" w:rsidR="0093034B" w:rsidRPr="00714D0C" w:rsidRDefault="0093034B" w:rsidP="00450963">
            <w:pPr>
              <w:divId w:val="40056841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>P.5.5.1.e (HT)</w:t>
            </w:r>
            <w:r w:rsid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714D0C">
              <w:rPr>
                <w:rFonts w:cstheme="minorHAnsi"/>
                <w:b/>
                <w:bCs/>
                <w:i/>
                <w:iCs/>
                <w:color w:val="333333"/>
              </w:rPr>
              <w:t xml:space="preserve"> I can explain why an object floats or sinks, with reference to its weight, volume and the upthrust it experiences</w:t>
            </w:r>
            <w:r w:rsidR="00714D0C">
              <w:rPr>
                <w:rFonts w:cstheme="minorHAnsi"/>
                <w:b/>
                <w:bCs/>
                <w:i/>
                <w:iCs/>
                <w:color w:val="333333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14:paraId="1849BA84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auto"/>
          </w:tcPr>
          <w:p w14:paraId="1B26B7D7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auto"/>
          </w:tcPr>
          <w:p w14:paraId="5BF06DE8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93034B" w:rsidRPr="00764FC4" w14:paraId="06AF87F4" w14:textId="63B77E2B" w:rsidTr="00714D0C">
        <w:trPr>
          <w:trHeight w:val="1197"/>
        </w:trPr>
        <w:tc>
          <w:tcPr>
            <w:tcW w:w="7479" w:type="dxa"/>
            <w:shd w:val="clear" w:color="auto" w:fill="auto"/>
            <w:vAlign w:val="center"/>
          </w:tcPr>
          <w:p w14:paraId="0858EFED" w14:textId="759C327D" w:rsidR="0093034B" w:rsidRPr="00714D0C" w:rsidRDefault="0093034B" w:rsidP="00450963">
            <w:pPr>
              <w:divId w:val="1417283858"/>
              <w:rPr>
                <w:rFonts w:cstheme="minorHAnsi"/>
                <w:color w:val="333333"/>
              </w:rPr>
            </w:pPr>
            <w:r w:rsidRPr="00714D0C">
              <w:rPr>
                <w:rFonts w:cstheme="minorHAnsi"/>
                <w:color w:val="333333"/>
              </w:rPr>
              <w:t>P.5.5.2.a</w:t>
            </w:r>
            <w:r w:rsidR="00714D0C" w:rsidRPr="00714D0C">
              <w:rPr>
                <w:rFonts w:cstheme="minorHAnsi"/>
                <w:color w:val="333333"/>
              </w:rPr>
              <w:t>. -</w:t>
            </w:r>
            <w:r w:rsidRPr="00714D0C">
              <w:rPr>
                <w:rFonts w:cstheme="minorHAnsi"/>
                <w:color w:val="333333"/>
              </w:rPr>
              <w:t xml:space="preserve"> I can describe a simple model of the Earth's atmosphere and of atmospheric pressure, explaining why atmospheric pressure varies with height above a surface</w:t>
            </w:r>
            <w:r w:rsidR="00714D0C" w:rsidRPr="00714D0C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26" w:type="dxa"/>
            <w:shd w:val="clear" w:color="auto" w:fill="auto"/>
          </w:tcPr>
          <w:p w14:paraId="12D51DDB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93" w:type="dxa"/>
            <w:shd w:val="clear" w:color="auto" w:fill="auto"/>
          </w:tcPr>
          <w:p w14:paraId="2F0AFB15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58" w:type="dxa"/>
            <w:shd w:val="clear" w:color="auto" w:fill="auto"/>
          </w:tcPr>
          <w:p w14:paraId="11702BB0" w14:textId="77777777" w:rsidR="0093034B" w:rsidRPr="00764FC4" w:rsidRDefault="0093034B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7C416777" w14:textId="32A7E92E" w:rsidR="00450963" w:rsidRDefault="00450963" w:rsidP="00E32C29">
      <w:pPr>
        <w:rPr>
          <w:sz w:val="16"/>
        </w:rPr>
      </w:pPr>
    </w:p>
    <w:p w14:paraId="6EA968B8" w14:textId="77777777" w:rsidR="00442F2F" w:rsidRPr="00E32C29" w:rsidRDefault="00442F2F" w:rsidP="00E32C29">
      <w:pPr>
        <w:rPr>
          <w:sz w:val="16"/>
        </w:rPr>
      </w:pPr>
    </w:p>
    <w:sectPr w:rsidR="00442F2F" w:rsidRPr="00E32C29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8086394">
    <w:abstractNumId w:val="1"/>
  </w:num>
  <w:num w:numId="2" w16cid:durableId="179956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263FE4"/>
    <w:rsid w:val="0036445B"/>
    <w:rsid w:val="00442F2F"/>
    <w:rsid w:val="00450963"/>
    <w:rsid w:val="0054487F"/>
    <w:rsid w:val="00635C75"/>
    <w:rsid w:val="00696209"/>
    <w:rsid w:val="00714D0C"/>
    <w:rsid w:val="00764FC4"/>
    <w:rsid w:val="0079287C"/>
    <w:rsid w:val="007B53D1"/>
    <w:rsid w:val="0093034B"/>
    <w:rsid w:val="00A60824"/>
    <w:rsid w:val="00C83649"/>
    <w:rsid w:val="00E32C29"/>
    <w:rsid w:val="00E57214"/>
    <w:rsid w:val="00E939E0"/>
    <w:rsid w:val="1D4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g-val">
    <w:name w:val="rag-val"/>
    <w:basedOn w:val="DefaultParagraphFont"/>
    <w:rsid w:val="00450963"/>
  </w:style>
  <w:style w:type="character" w:styleId="Hyperlink">
    <w:name w:val="Hyperlink"/>
    <w:basedOn w:val="DefaultParagraphFont"/>
    <w:uiPriority w:val="99"/>
    <w:semiHidden/>
    <w:unhideWhenUsed/>
    <w:rsid w:val="00442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0E40BD-6969-4DB6-8AC9-DC6BEFC9DDD0}"/>
</file>

<file path=customXml/itemProps2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622A2-A0BC-4A94-AE24-891F05EEC7CC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7</cp:revision>
  <dcterms:created xsi:type="dcterms:W3CDTF">2020-10-08T08:49:00Z</dcterms:created>
  <dcterms:modified xsi:type="dcterms:W3CDTF">2022-08-21T07:50:00Z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