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52C8C20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FC714E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78A3F6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FB44F9">
        <w:rPr>
          <w:sz w:val="32"/>
          <w:szCs w:val="32"/>
        </w:rPr>
        <w:t>1</w:t>
      </w:r>
    </w:p>
    <w:p w14:paraId="693D7F86" w14:textId="3280F378" w:rsidR="00703250" w:rsidRDefault="00D149B3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>Microbiology</w:t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47A54C53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025435">
        <w:tc>
          <w:tcPr>
            <w:tcW w:w="567" w:type="dxa"/>
          </w:tcPr>
          <w:p w14:paraId="693D7F8B" w14:textId="77F6E4CD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</w:tcPr>
          <w:p w14:paraId="58C9B8CE" w14:textId="6188F65D" w:rsidR="00334FF6" w:rsidRDefault="00334FF6" w:rsidP="00334F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classification of bacteria according to their shape and by their reaction to</w:t>
            </w:r>
            <w:r>
              <w:rPr>
                <w:rFonts w:ascii="Arial" w:hAnsi="Arial" w:cs="Arial"/>
              </w:rPr>
              <w:t xml:space="preserve"> the</w:t>
            </w:r>
            <w:r>
              <w:rPr>
                <w:rFonts w:ascii="Arial" w:hAnsi="Arial" w:cs="Arial"/>
              </w:rPr>
              <w:t xml:space="preserve"> Gram stain as determined by their cell wall structure, including the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preparation and examination of bacteria stained using Gram technique</w:t>
            </w:r>
          </w:p>
          <w:p w14:paraId="693D7F8D" w14:textId="2D34CB0B" w:rsidR="00FB44F9" w:rsidRPr="00025317" w:rsidRDefault="00334FF6" w:rsidP="00334FF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356458E3" w14:textId="77777777" w:rsidTr="00025435">
        <w:tc>
          <w:tcPr>
            <w:tcW w:w="567" w:type="dxa"/>
          </w:tcPr>
          <w:p w14:paraId="37416AFA" w14:textId="55B4717A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</w:tcPr>
          <w:p w14:paraId="011E200C" w14:textId="7B5E2CF4" w:rsidR="00334FF6" w:rsidRDefault="00334FF6" w:rsidP="00334F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methods by which microorganisms can be cultured in the laboratory</w:t>
            </w:r>
          </w:p>
          <w:p w14:paraId="63B1BECD" w14:textId="00687501" w:rsidR="00FB44F9" w:rsidRPr="00025317" w:rsidRDefault="00FB44F9" w:rsidP="00BA55C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34F1B1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7A5EC1FF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76BC4D60" w14:textId="77777777" w:rsidTr="00025435">
        <w:tc>
          <w:tcPr>
            <w:tcW w:w="567" w:type="dxa"/>
          </w:tcPr>
          <w:p w14:paraId="63847C59" w14:textId="1A2C9604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</w:tcPr>
          <w:p w14:paraId="1DC81070" w14:textId="77777777" w:rsidR="00334FF6" w:rsidRDefault="00334FF6" w:rsidP="00334F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conditions necessary for bacterial growth and the principles of aseptic</w:t>
            </w:r>
          </w:p>
          <w:p w14:paraId="2F706430" w14:textId="77777777" w:rsidR="00FB44F9" w:rsidRDefault="00334FF6" w:rsidP="00334F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technique</w:t>
            </w:r>
          </w:p>
          <w:p w14:paraId="6CA35BA3" w14:textId="0EF38635" w:rsidR="00334FF6" w:rsidRPr="003E045D" w:rsidRDefault="00334FF6" w:rsidP="00334F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51FF7F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0CCF6EEF" w14:textId="77777777" w:rsidTr="00025435">
        <w:tc>
          <w:tcPr>
            <w:tcW w:w="567" w:type="dxa"/>
          </w:tcPr>
          <w:p w14:paraId="30F15EDA" w14:textId="3B83E06F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14:paraId="00F1AA12" w14:textId="2D541D44" w:rsidR="00334FF6" w:rsidRDefault="00334FF6" w:rsidP="00334F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methods used to monitor population growth in microorganisms including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viable count, using serial dilutions, plating and counting colonies</w:t>
            </w:r>
          </w:p>
          <w:p w14:paraId="36D09827" w14:textId="6E297865" w:rsidR="00FB44F9" w:rsidRPr="003E045D" w:rsidRDefault="00FB44F9" w:rsidP="006E64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B69EA8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DE09AC" w14:textId="77777777" w:rsidR="00BA55C1" w:rsidRDefault="00BA55C1" w:rsidP="00395C3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bookmarkStart w:id="0" w:name="_GoBack"/>
      <w:bookmarkEnd w:id="0"/>
    </w:p>
    <w:p w14:paraId="4BBEF7E7" w14:textId="77777777" w:rsidR="00334FF6" w:rsidRDefault="00395C33" w:rsidP="00334FF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SPECIFIED PRACTICAL WORK</w:t>
      </w:r>
    </w:p>
    <w:p w14:paraId="0E31D692" w14:textId="326E47A3" w:rsidR="00334FF6" w:rsidRDefault="00334FF6" w:rsidP="00334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into the numbers of bacteria in fresh and stale milk, using</w:t>
      </w:r>
    </w:p>
    <w:p w14:paraId="73FC7AFA" w14:textId="29015032" w:rsidR="00395C33" w:rsidRDefault="00334FF6" w:rsidP="00334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techniques of serial dilution, plating and counting colonies</w:t>
      </w:r>
    </w:p>
    <w:sectPr w:rsidR="00395C33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93C8C"/>
    <w:rsid w:val="000A206A"/>
    <w:rsid w:val="000C234D"/>
    <w:rsid w:val="000D373E"/>
    <w:rsid w:val="00115006"/>
    <w:rsid w:val="001203AE"/>
    <w:rsid w:val="0012692A"/>
    <w:rsid w:val="00173E8B"/>
    <w:rsid w:val="001A1152"/>
    <w:rsid w:val="001A47FE"/>
    <w:rsid w:val="00203DA8"/>
    <w:rsid w:val="0025354E"/>
    <w:rsid w:val="002F68EF"/>
    <w:rsid w:val="00334FF6"/>
    <w:rsid w:val="00346A2F"/>
    <w:rsid w:val="00360AB6"/>
    <w:rsid w:val="00395C33"/>
    <w:rsid w:val="003A58FE"/>
    <w:rsid w:val="003C4E09"/>
    <w:rsid w:val="003E045D"/>
    <w:rsid w:val="0042473B"/>
    <w:rsid w:val="00431D7D"/>
    <w:rsid w:val="0044469D"/>
    <w:rsid w:val="004C5421"/>
    <w:rsid w:val="00574AA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214D5"/>
    <w:rsid w:val="007A644F"/>
    <w:rsid w:val="007C169A"/>
    <w:rsid w:val="007E6C33"/>
    <w:rsid w:val="008036D7"/>
    <w:rsid w:val="0089582B"/>
    <w:rsid w:val="00913E84"/>
    <w:rsid w:val="00921188"/>
    <w:rsid w:val="009216E9"/>
    <w:rsid w:val="009808C0"/>
    <w:rsid w:val="009C0C49"/>
    <w:rsid w:val="00A53203"/>
    <w:rsid w:val="00AA7741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D066AE"/>
    <w:rsid w:val="00D149B3"/>
    <w:rsid w:val="00D316C4"/>
    <w:rsid w:val="00D42AE5"/>
    <w:rsid w:val="00D44F26"/>
    <w:rsid w:val="00DA61B4"/>
    <w:rsid w:val="00E252A5"/>
    <w:rsid w:val="00E31575"/>
    <w:rsid w:val="00EC17FF"/>
    <w:rsid w:val="00EC449B"/>
    <w:rsid w:val="00EC5A1F"/>
    <w:rsid w:val="00F85D9A"/>
    <w:rsid w:val="00F92476"/>
    <w:rsid w:val="00F97043"/>
    <w:rsid w:val="00FB44F9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37C863E0-B055-41F2-B2B9-645CD205F7BE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d0e67147-eaa0-4694-9040-c02fc0f760e7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50a7379-649e-4803-ac14-b67e4e977e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4</cp:revision>
  <dcterms:created xsi:type="dcterms:W3CDTF">2020-07-09T14:03:00Z</dcterms:created>
  <dcterms:modified xsi:type="dcterms:W3CDTF">2020-07-09T14:05:00Z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