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0010B" w14:textId="209E77E7" w:rsidR="0086590A" w:rsidRDefault="0086590A" w:rsidP="00312EDB">
      <w:pPr>
        <w:rPr>
          <w:rFonts w:ascii="Calibri" w:hAnsi="Calibri"/>
          <w:b/>
          <w:sz w:val="36"/>
          <w:szCs w:val="36"/>
        </w:rPr>
      </w:pPr>
      <w:r>
        <w:rPr>
          <w:rFonts w:ascii="IBM Plex Sans Condensed" w:hAnsi="IBM Plex Sans Condensed"/>
          <w:noProof/>
        </w:rPr>
        <w:drawing>
          <wp:anchor distT="0" distB="0" distL="114300" distR="114300" simplePos="0" relativeHeight="251658240" behindDoc="1" locked="0" layoutInCell="1" allowOverlap="1" wp14:anchorId="7A2854FF" wp14:editId="52DF9327">
            <wp:simplePos x="0" y="0"/>
            <wp:positionH relativeFrom="column">
              <wp:posOffset>4783455</wp:posOffset>
            </wp:positionH>
            <wp:positionV relativeFrom="paragraph">
              <wp:posOffset>0</wp:posOffset>
            </wp:positionV>
            <wp:extent cx="1337310" cy="1337310"/>
            <wp:effectExtent l="0" t="0" r="0" b="0"/>
            <wp:wrapTight wrapText="bothSides">
              <wp:wrapPolygon edited="0">
                <wp:start x="8821" y="0"/>
                <wp:lineTo x="6974" y="410"/>
                <wp:lineTo x="2462" y="2667"/>
                <wp:lineTo x="2256" y="3487"/>
                <wp:lineTo x="410" y="6564"/>
                <wp:lineTo x="0" y="8821"/>
                <wp:lineTo x="0" y="13128"/>
                <wp:lineTo x="1231" y="16410"/>
                <wp:lineTo x="4308" y="19692"/>
                <wp:lineTo x="4513" y="20103"/>
                <wp:lineTo x="8000" y="21333"/>
                <wp:lineTo x="9026" y="21333"/>
                <wp:lineTo x="12513" y="21333"/>
                <wp:lineTo x="13333" y="21333"/>
                <wp:lineTo x="16821" y="19897"/>
                <wp:lineTo x="17026" y="19692"/>
                <wp:lineTo x="20103" y="16410"/>
                <wp:lineTo x="21333" y="13128"/>
                <wp:lineTo x="21333" y="8821"/>
                <wp:lineTo x="20923" y="6564"/>
                <wp:lineTo x="19077" y="2667"/>
                <wp:lineTo x="14564" y="410"/>
                <wp:lineTo x="12513" y="0"/>
                <wp:lineTo x="8821" y="0"/>
              </wp:wrapPolygon>
            </wp:wrapTight>
            <wp:docPr id="710342319" name="Picture 5"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342319" name="Picture 5"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7310" cy="1337310"/>
                    </a:xfrm>
                    <a:prstGeom prst="rect">
                      <a:avLst/>
                    </a:prstGeom>
                  </pic:spPr>
                </pic:pic>
              </a:graphicData>
            </a:graphic>
            <wp14:sizeRelH relativeFrom="page">
              <wp14:pctWidth>0</wp14:pctWidth>
            </wp14:sizeRelH>
            <wp14:sizeRelV relativeFrom="page">
              <wp14:pctHeight>0</wp14:pctHeight>
            </wp14:sizeRelV>
          </wp:anchor>
        </w:drawing>
      </w:r>
    </w:p>
    <w:p w14:paraId="13FAE194" w14:textId="6E53AE65" w:rsidR="0086590A" w:rsidRDefault="0086590A" w:rsidP="00312EDB">
      <w:pPr>
        <w:rPr>
          <w:rFonts w:ascii="Calibri" w:hAnsi="Calibri"/>
          <w:b/>
          <w:sz w:val="36"/>
          <w:szCs w:val="36"/>
        </w:rPr>
      </w:pPr>
    </w:p>
    <w:p w14:paraId="1F7AA583" w14:textId="7B85C80D" w:rsidR="002422E0" w:rsidRPr="002422E0" w:rsidRDefault="00024D58" w:rsidP="002422E0">
      <w:pPr>
        <w:jc w:val="both"/>
        <w:rPr>
          <w:rFonts w:ascii="IBM Plex Sans Condensed" w:eastAsia="Times" w:hAnsi="IBM Plex Sans Condensed"/>
          <w:b/>
          <w:sz w:val="36"/>
          <w:szCs w:val="36"/>
          <w:lang w:eastAsia="en-US"/>
        </w:rPr>
      </w:pPr>
      <w:r>
        <w:rPr>
          <w:rFonts w:ascii="IBM Plex Sans Condensed" w:eastAsia="Times" w:hAnsi="IBM Plex Sans Condensed"/>
          <w:b/>
          <w:sz w:val="36"/>
          <w:szCs w:val="36"/>
          <w:lang w:eastAsia="en-US"/>
        </w:rPr>
        <w:t>Science Curriculum Team</w:t>
      </w:r>
      <w:r w:rsidR="002422E0" w:rsidRPr="002422E0">
        <w:rPr>
          <w:rFonts w:ascii="IBM Plex Sans Condensed" w:eastAsia="Times" w:hAnsi="IBM Plex Sans Condensed"/>
          <w:b/>
          <w:sz w:val="36"/>
          <w:szCs w:val="36"/>
          <w:lang w:eastAsia="en-US"/>
        </w:rPr>
        <w:t xml:space="preserve"> at Crompton House School</w:t>
      </w:r>
    </w:p>
    <w:p w14:paraId="4D235FF3" w14:textId="248515B5" w:rsidR="0091325F" w:rsidRDefault="0091325F" w:rsidP="00024D58">
      <w:pPr>
        <w:rPr>
          <w:rFonts w:ascii="IBM Plex Sans Condensed" w:hAnsi="IBM Plex Sans Condensed"/>
        </w:rPr>
      </w:pPr>
    </w:p>
    <w:p w14:paraId="7EF7AAA3" w14:textId="768BA1E8" w:rsidR="00024D58" w:rsidRPr="00024D58" w:rsidRDefault="00024D58" w:rsidP="00024D58">
      <w:pPr>
        <w:jc w:val="both"/>
        <w:rPr>
          <w:rFonts w:asciiTheme="majorHAnsi" w:hAnsiTheme="majorHAnsi"/>
          <w:lang w:eastAsia="en-US"/>
        </w:rPr>
      </w:pPr>
      <w:r w:rsidRPr="00024D58">
        <w:rPr>
          <w:rFonts w:asciiTheme="majorHAnsi" w:hAnsiTheme="majorHAnsi"/>
          <w:lang w:eastAsia="en-US"/>
        </w:rPr>
        <w:t xml:space="preserve">The Science Department at Crompton House consists of a </w:t>
      </w:r>
      <w:r w:rsidRPr="00024D58">
        <w:rPr>
          <w:rFonts w:asciiTheme="majorHAnsi" w:hAnsiTheme="majorHAnsi"/>
          <w:lang w:eastAsia="en-US"/>
        </w:rPr>
        <w:t>hard-working</w:t>
      </w:r>
      <w:r w:rsidRPr="00024D58">
        <w:rPr>
          <w:rFonts w:asciiTheme="majorHAnsi" w:hAnsiTheme="majorHAnsi"/>
          <w:lang w:eastAsia="en-US"/>
        </w:rPr>
        <w:t xml:space="preserve"> team of 13 teachers and 3 lab technicians. We are committed to providing a forward looking and challenging Science education that is relevant to the needs of </w:t>
      </w:r>
      <w:proofErr w:type="gramStart"/>
      <w:r w:rsidRPr="00024D58">
        <w:rPr>
          <w:rFonts w:asciiTheme="majorHAnsi" w:hAnsiTheme="majorHAnsi"/>
          <w:lang w:eastAsia="en-US"/>
        </w:rPr>
        <w:t>all of</w:t>
      </w:r>
      <w:proofErr w:type="gramEnd"/>
      <w:r w:rsidRPr="00024D58">
        <w:rPr>
          <w:rFonts w:asciiTheme="majorHAnsi" w:hAnsiTheme="majorHAnsi"/>
          <w:lang w:eastAsia="en-US"/>
        </w:rPr>
        <w:t xml:space="preserve"> our students. We work closely together in an open, collaborative and supportive way, not only in matters such as curriculum development, but also in setting and maintaining high standards </w:t>
      </w:r>
      <w:proofErr w:type="gramStart"/>
      <w:r w:rsidRPr="00024D58">
        <w:rPr>
          <w:rFonts w:asciiTheme="majorHAnsi" w:hAnsiTheme="majorHAnsi"/>
          <w:lang w:eastAsia="en-US"/>
        </w:rPr>
        <w:t>with regard to</w:t>
      </w:r>
      <w:proofErr w:type="gramEnd"/>
      <w:r w:rsidRPr="00024D58">
        <w:rPr>
          <w:rFonts w:asciiTheme="majorHAnsi" w:hAnsiTheme="majorHAnsi"/>
          <w:lang w:eastAsia="en-US"/>
        </w:rPr>
        <w:t xml:space="preserve"> academic achievement, pupil behaviour and pastoral care. We aim to help each child recognise and achieve their true potential. Our students achieve results well above national averages; this is a consequence of the very positive attitude that our students have towards </w:t>
      </w:r>
      <w:proofErr w:type="gramStart"/>
      <w:r w:rsidRPr="00024D58">
        <w:rPr>
          <w:rFonts w:asciiTheme="majorHAnsi" w:hAnsiTheme="majorHAnsi"/>
          <w:lang w:eastAsia="en-US"/>
        </w:rPr>
        <w:t>Science</w:t>
      </w:r>
      <w:proofErr w:type="gramEnd"/>
      <w:r w:rsidRPr="00024D58">
        <w:rPr>
          <w:rFonts w:asciiTheme="majorHAnsi" w:hAnsiTheme="majorHAnsi"/>
          <w:lang w:eastAsia="en-US"/>
        </w:rPr>
        <w:t xml:space="preserve"> at our school and the excellent teaching that they receive. </w:t>
      </w:r>
    </w:p>
    <w:p w14:paraId="7E5A30C3" w14:textId="77777777" w:rsidR="00024D58" w:rsidRPr="00024D58" w:rsidRDefault="00024D58" w:rsidP="00024D58">
      <w:pPr>
        <w:jc w:val="both"/>
        <w:rPr>
          <w:rFonts w:asciiTheme="majorHAnsi" w:hAnsiTheme="majorHAnsi"/>
          <w:b/>
          <w:lang w:eastAsia="en-US"/>
        </w:rPr>
      </w:pPr>
    </w:p>
    <w:p w14:paraId="650DAB4A" w14:textId="77777777" w:rsidR="00024D58" w:rsidRPr="00024D58" w:rsidRDefault="00024D58" w:rsidP="00024D58">
      <w:pPr>
        <w:jc w:val="both"/>
        <w:rPr>
          <w:rFonts w:asciiTheme="majorHAnsi" w:hAnsiTheme="majorHAnsi"/>
          <w:lang w:eastAsia="en-US"/>
        </w:rPr>
      </w:pPr>
      <w:r w:rsidRPr="00024D58">
        <w:rPr>
          <w:rFonts w:asciiTheme="majorHAnsi" w:hAnsiTheme="majorHAnsi"/>
          <w:lang w:eastAsia="en-US"/>
        </w:rPr>
        <w:t>The department is well resourced in terms of specialist equipment and textbooks. There is a total of 9 Science laboratories. Staff and students look after their surroundings and all labs prominently display students’ work. As a department we place great emphasis on practical work and benefit from superb support from our technicians. The curriculum is organised as follows:</w:t>
      </w:r>
    </w:p>
    <w:p w14:paraId="587118DD" w14:textId="77777777" w:rsidR="00024D58" w:rsidRPr="00024D58" w:rsidRDefault="00024D58" w:rsidP="00024D58">
      <w:pPr>
        <w:keepNext/>
        <w:spacing w:before="240" w:after="60"/>
        <w:jc w:val="both"/>
        <w:outlineLvl w:val="2"/>
        <w:rPr>
          <w:rFonts w:asciiTheme="majorHAnsi" w:hAnsiTheme="majorHAnsi"/>
          <w:b/>
          <w:bCs/>
          <w:lang w:eastAsia="en-US"/>
        </w:rPr>
      </w:pPr>
      <w:r w:rsidRPr="00024D58">
        <w:rPr>
          <w:rFonts w:asciiTheme="majorHAnsi" w:hAnsiTheme="majorHAnsi"/>
          <w:b/>
          <w:bCs/>
          <w:lang w:eastAsia="en-US"/>
        </w:rPr>
        <w:t>Key Stage 3</w:t>
      </w:r>
    </w:p>
    <w:p w14:paraId="05D3AE1B" w14:textId="77777777" w:rsidR="00024D58" w:rsidRPr="00024D58" w:rsidRDefault="00024D58" w:rsidP="00024D58">
      <w:pPr>
        <w:jc w:val="both"/>
        <w:rPr>
          <w:rFonts w:asciiTheme="majorHAnsi" w:hAnsiTheme="majorHAnsi"/>
          <w:lang w:eastAsia="en-US"/>
        </w:rPr>
      </w:pPr>
      <w:r w:rsidRPr="00024D58">
        <w:rPr>
          <w:rFonts w:asciiTheme="majorHAnsi" w:hAnsiTheme="majorHAnsi"/>
          <w:lang w:eastAsia="en-US"/>
        </w:rPr>
        <w:t xml:space="preserve">Pupils in all years follow Schemes of Work which have been developed in </w:t>
      </w:r>
      <w:proofErr w:type="gramStart"/>
      <w:r w:rsidRPr="00024D58">
        <w:rPr>
          <w:rFonts w:asciiTheme="majorHAnsi" w:hAnsiTheme="majorHAnsi"/>
          <w:lang w:eastAsia="en-US"/>
        </w:rPr>
        <w:t>house, and</w:t>
      </w:r>
      <w:proofErr w:type="gramEnd"/>
      <w:r w:rsidRPr="00024D58">
        <w:rPr>
          <w:rFonts w:asciiTheme="majorHAnsi" w:hAnsiTheme="majorHAnsi"/>
          <w:lang w:eastAsia="en-US"/>
        </w:rPr>
        <w:t xml:space="preserve"> continue to be developed. Students are placed into sets according to levels of attainment. The performance of pupils is reviewed throughout the Key Stage and set changes are made as appropriate during and at the end of the academic year. These set movements are based on a student’s performance in class, assessed homework, end of term and year examinations as well as teacher assessments. Since September 2015 students in Year 9 have followed Key stage 4 courses.</w:t>
      </w:r>
    </w:p>
    <w:p w14:paraId="24CAF0CA" w14:textId="77777777" w:rsidR="00024D58" w:rsidRPr="00024D58" w:rsidRDefault="00024D58" w:rsidP="00024D58">
      <w:pPr>
        <w:keepNext/>
        <w:spacing w:before="240" w:after="60"/>
        <w:jc w:val="both"/>
        <w:outlineLvl w:val="2"/>
        <w:rPr>
          <w:rFonts w:asciiTheme="majorHAnsi" w:hAnsiTheme="majorHAnsi"/>
          <w:b/>
          <w:bCs/>
          <w:lang w:eastAsia="en-US"/>
        </w:rPr>
      </w:pPr>
      <w:r w:rsidRPr="00024D58">
        <w:rPr>
          <w:rFonts w:asciiTheme="majorHAnsi" w:hAnsiTheme="majorHAnsi"/>
          <w:b/>
          <w:bCs/>
          <w:lang w:eastAsia="en-US"/>
        </w:rPr>
        <w:t>Key Stage 4</w:t>
      </w:r>
    </w:p>
    <w:p w14:paraId="18844AF4" w14:textId="77777777" w:rsidR="00024D58" w:rsidRPr="00024D58" w:rsidRDefault="00024D58" w:rsidP="00024D58">
      <w:pPr>
        <w:jc w:val="both"/>
        <w:rPr>
          <w:rFonts w:asciiTheme="majorHAnsi" w:hAnsiTheme="majorHAnsi"/>
          <w:sz w:val="22"/>
          <w:szCs w:val="22"/>
          <w:lang w:eastAsia="en-US"/>
        </w:rPr>
      </w:pPr>
      <w:r w:rsidRPr="00024D58">
        <w:rPr>
          <w:rFonts w:asciiTheme="majorHAnsi" w:hAnsiTheme="majorHAnsi"/>
          <w:lang w:eastAsia="en-US"/>
        </w:rPr>
        <w:t xml:space="preserve">At Key Stage Four, students study one of three routes: </w:t>
      </w:r>
    </w:p>
    <w:p w14:paraId="263C36C1" w14:textId="77777777" w:rsidR="00024D58" w:rsidRPr="00024D58" w:rsidRDefault="00024D58" w:rsidP="00024D58">
      <w:pPr>
        <w:numPr>
          <w:ilvl w:val="0"/>
          <w:numId w:val="6"/>
        </w:numPr>
        <w:jc w:val="both"/>
        <w:rPr>
          <w:rFonts w:asciiTheme="majorHAnsi" w:hAnsiTheme="majorHAnsi"/>
          <w:lang w:eastAsia="en-US"/>
        </w:rPr>
      </w:pPr>
      <w:r w:rsidRPr="00024D58">
        <w:rPr>
          <w:rFonts w:asciiTheme="majorHAnsi" w:hAnsiTheme="majorHAnsi"/>
          <w:lang w:eastAsia="en-US"/>
        </w:rPr>
        <w:t xml:space="preserve">AQA GCSE Combined Trilogy </w:t>
      </w:r>
    </w:p>
    <w:p w14:paraId="6F0D41DB" w14:textId="77777777" w:rsidR="00024D58" w:rsidRPr="00024D58" w:rsidRDefault="00024D58" w:rsidP="00024D58">
      <w:pPr>
        <w:numPr>
          <w:ilvl w:val="0"/>
          <w:numId w:val="6"/>
        </w:numPr>
        <w:jc w:val="both"/>
        <w:rPr>
          <w:rFonts w:asciiTheme="majorHAnsi" w:hAnsiTheme="majorHAnsi"/>
          <w:lang w:eastAsia="en-US"/>
        </w:rPr>
      </w:pPr>
      <w:r w:rsidRPr="00024D58">
        <w:rPr>
          <w:rFonts w:asciiTheme="majorHAnsi" w:hAnsiTheme="majorHAnsi"/>
          <w:lang w:eastAsia="en-US"/>
        </w:rPr>
        <w:t>AQA GCSE in Biology, Chemistry and Physics</w:t>
      </w:r>
    </w:p>
    <w:p w14:paraId="6AA47427" w14:textId="77777777" w:rsidR="00024D58" w:rsidRPr="00024D58" w:rsidRDefault="00024D58" w:rsidP="00024D58">
      <w:pPr>
        <w:ind w:left="720"/>
        <w:jc w:val="both"/>
        <w:rPr>
          <w:rFonts w:asciiTheme="majorHAnsi" w:hAnsiTheme="majorHAnsi"/>
          <w:lang w:eastAsia="en-US"/>
        </w:rPr>
      </w:pPr>
    </w:p>
    <w:p w14:paraId="4208F746" w14:textId="77777777" w:rsidR="00024D58" w:rsidRPr="00024D58" w:rsidRDefault="00024D58" w:rsidP="00024D58">
      <w:pPr>
        <w:rPr>
          <w:rFonts w:asciiTheme="majorHAnsi" w:hAnsiTheme="majorHAnsi"/>
          <w:lang w:eastAsia="en-US"/>
        </w:rPr>
      </w:pPr>
    </w:p>
    <w:p w14:paraId="6D0322FA" w14:textId="77777777" w:rsidR="00024D58" w:rsidRPr="00024D58" w:rsidRDefault="00024D58" w:rsidP="00024D58">
      <w:pPr>
        <w:jc w:val="both"/>
        <w:rPr>
          <w:rFonts w:asciiTheme="majorHAnsi" w:hAnsiTheme="majorHAnsi"/>
          <w:lang w:eastAsia="en-US"/>
        </w:rPr>
      </w:pPr>
      <w:r w:rsidRPr="00024D58">
        <w:rPr>
          <w:rFonts w:asciiTheme="majorHAnsi" w:hAnsiTheme="majorHAnsi"/>
          <w:lang w:eastAsia="en-US"/>
        </w:rPr>
        <w:t xml:space="preserve">Uptake of the Triple Science GCSE course is high, with well over a third of the year group choosing to follow this option. </w:t>
      </w:r>
    </w:p>
    <w:p w14:paraId="2C61B5E6" w14:textId="77777777" w:rsidR="00024D58" w:rsidRPr="00024D58" w:rsidRDefault="00024D58" w:rsidP="00024D58">
      <w:pPr>
        <w:keepNext/>
        <w:spacing w:before="240" w:after="60"/>
        <w:jc w:val="both"/>
        <w:outlineLvl w:val="2"/>
        <w:rPr>
          <w:rFonts w:asciiTheme="majorHAnsi" w:hAnsiTheme="majorHAnsi"/>
          <w:b/>
          <w:bCs/>
          <w:lang w:eastAsia="en-US"/>
        </w:rPr>
      </w:pPr>
      <w:r w:rsidRPr="00024D58">
        <w:rPr>
          <w:rFonts w:asciiTheme="majorHAnsi" w:hAnsiTheme="majorHAnsi"/>
          <w:b/>
          <w:bCs/>
          <w:lang w:eastAsia="en-US"/>
        </w:rPr>
        <w:t>Sixth Form</w:t>
      </w:r>
    </w:p>
    <w:p w14:paraId="1D33E34B" w14:textId="77777777" w:rsidR="00024D58" w:rsidRDefault="00024D58" w:rsidP="00024D58">
      <w:pPr>
        <w:jc w:val="both"/>
        <w:rPr>
          <w:rFonts w:asciiTheme="majorHAnsi" w:hAnsiTheme="majorHAnsi"/>
          <w:lang w:eastAsia="en-US"/>
        </w:rPr>
      </w:pPr>
      <w:r w:rsidRPr="00024D58">
        <w:rPr>
          <w:rFonts w:asciiTheme="majorHAnsi" w:hAnsiTheme="majorHAnsi"/>
          <w:lang w:eastAsia="en-US"/>
        </w:rPr>
        <w:t xml:space="preserve">We are pleased that a substantial number of students continue their study of at least one Science subject to A level and beyond. We currently offer A level courses in Biology, Chemistry, and Physics and this year we will have a total of 11 A Level teaching groups. Many of our students continue their studies of Science and Medical based subjects at </w:t>
      </w:r>
      <w:proofErr w:type="gramStart"/>
      <w:r w:rsidRPr="00024D58">
        <w:rPr>
          <w:rFonts w:asciiTheme="majorHAnsi" w:hAnsiTheme="majorHAnsi"/>
          <w:lang w:eastAsia="en-US"/>
        </w:rPr>
        <w:t>University</w:t>
      </w:r>
      <w:proofErr w:type="gramEnd"/>
      <w:r w:rsidRPr="00024D58">
        <w:rPr>
          <w:rFonts w:asciiTheme="majorHAnsi" w:hAnsiTheme="majorHAnsi"/>
          <w:lang w:eastAsia="en-US"/>
        </w:rPr>
        <w:t xml:space="preserve">. We take </w:t>
      </w:r>
    </w:p>
    <w:p w14:paraId="1E0D84FF" w14:textId="77777777" w:rsidR="00024D58" w:rsidRDefault="00024D58" w:rsidP="00024D58">
      <w:pPr>
        <w:jc w:val="both"/>
        <w:rPr>
          <w:rFonts w:asciiTheme="majorHAnsi" w:hAnsiTheme="majorHAnsi"/>
          <w:lang w:eastAsia="en-US"/>
        </w:rPr>
      </w:pPr>
    </w:p>
    <w:p w14:paraId="1C9036DD" w14:textId="77777777" w:rsidR="00024D58" w:rsidRDefault="00024D58" w:rsidP="00024D58">
      <w:pPr>
        <w:jc w:val="both"/>
        <w:rPr>
          <w:rFonts w:asciiTheme="majorHAnsi" w:hAnsiTheme="majorHAnsi"/>
          <w:lang w:eastAsia="en-US"/>
        </w:rPr>
      </w:pPr>
    </w:p>
    <w:p w14:paraId="3B8C13BE" w14:textId="07B3ECCD" w:rsidR="00024D58" w:rsidRPr="00024D58" w:rsidRDefault="00024D58" w:rsidP="00024D58">
      <w:pPr>
        <w:jc w:val="both"/>
        <w:rPr>
          <w:rFonts w:asciiTheme="majorHAnsi" w:hAnsiTheme="majorHAnsi"/>
          <w:lang w:eastAsia="en-US"/>
        </w:rPr>
      </w:pPr>
      <w:r w:rsidRPr="00024D58">
        <w:rPr>
          <w:rFonts w:asciiTheme="majorHAnsi" w:hAnsiTheme="majorHAnsi"/>
          <w:lang w:eastAsia="en-US"/>
        </w:rPr>
        <w:t>great pride in enabling our students to become mature and independent learners, well prepared for the next stage of their career.</w:t>
      </w:r>
    </w:p>
    <w:p w14:paraId="07DE3C0A" w14:textId="77777777" w:rsidR="00024D58" w:rsidRPr="00024D58" w:rsidRDefault="00024D58" w:rsidP="00024D58">
      <w:pPr>
        <w:jc w:val="both"/>
        <w:rPr>
          <w:rFonts w:asciiTheme="majorHAnsi" w:hAnsiTheme="majorHAnsi" w:cs="Arial"/>
          <w:iCs/>
          <w:lang w:eastAsia="en-US"/>
        </w:rPr>
      </w:pPr>
    </w:p>
    <w:p w14:paraId="73B20134" w14:textId="77777777" w:rsidR="00024D58" w:rsidRPr="00024D58" w:rsidRDefault="00024D58" w:rsidP="00024D58">
      <w:pPr>
        <w:jc w:val="both"/>
        <w:rPr>
          <w:rFonts w:asciiTheme="majorHAnsi" w:hAnsiTheme="majorHAnsi" w:cs="Arial"/>
          <w:iCs/>
          <w:lang w:eastAsia="en-US"/>
        </w:rPr>
      </w:pPr>
      <w:r w:rsidRPr="00024D58">
        <w:rPr>
          <w:rFonts w:asciiTheme="majorHAnsi" w:hAnsiTheme="majorHAnsi" w:cs="Arial"/>
          <w:iCs/>
          <w:lang w:eastAsia="en-US"/>
        </w:rPr>
        <w:t xml:space="preserve">Beyond the classroom science enjoys a high profile in the school. In addition to a lunchtime STEM club, we aim to take students on a variety of curriculum related trips. These regularly </w:t>
      </w:r>
      <w:proofErr w:type="gramStart"/>
      <w:r w:rsidRPr="00024D58">
        <w:rPr>
          <w:rFonts w:asciiTheme="majorHAnsi" w:hAnsiTheme="majorHAnsi" w:cs="Arial"/>
          <w:iCs/>
          <w:lang w:eastAsia="en-US"/>
        </w:rPr>
        <w:t>include:</w:t>
      </w:r>
      <w:proofErr w:type="gramEnd"/>
      <w:r w:rsidRPr="00024D58">
        <w:rPr>
          <w:rFonts w:asciiTheme="majorHAnsi" w:hAnsiTheme="majorHAnsi" w:cs="Arial"/>
          <w:iCs/>
          <w:lang w:eastAsia="en-US"/>
        </w:rPr>
        <w:t xml:space="preserve"> residential fieldtrips for Year 13 Biology students (to the Lake District and Malham Tarn respectively); a visit to CERN for Year 12 and 13 Physics student; and visits to institutions such as The University of Manchester and Chester Zoo.</w:t>
      </w:r>
    </w:p>
    <w:p w14:paraId="0EE5233A" w14:textId="77777777" w:rsidR="00024D58" w:rsidRPr="00024D58" w:rsidRDefault="00024D58" w:rsidP="00024D58">
      <w:pPr>
        <w:jc w:val="both"/>
        <w:rPr>
          <w:rFonts w:asciiTheme="majorHAnsi" w:hAnsiTheme="majorHAnsi" w:cs="Arial"/>
          <w:iCs/>
          <w:lang w:eastAsia="en-US"/>
        </w:rPr>
      </w:pPr>
    </w:p>
    <w:p w14:paraId="07851AF3" w14:textId="77777777" w:rsidR="00024D58" w:rsidRPr="00024D58" w:rsidRDefault="00024D58" w:rsidP="00024D58">
      <w:pPr>
        <w:jc w:val="both"/>
        <w:rPr>
          <w:rFonts w:asciiTheme="majorHAnsi" w:hAnsiTheme="majorHAnsi" w:cs="Arial"/>
          <w:iCs/>
          <w:lang w:eastAsia="en-US"/>
        </w:rPr>
      </w:pPr>
      <w:r w:rsidRPr="00024D58">
        <w:rPr>
          <w:rFonts w:asciiTheme="majorHAnsi" w:hAnsiTheme="majorHAnsi" w:cs="Arial"/>
          <w:iCs/>
          <w:lang w:eastAsia="en-US"/>
        </w:rPr>
        <w:t xml:space="preserve">We take time to work collaboratively, jointly planning lessons and sharing good practice through observation of lessons. All teachers are involved in the school’s “Outstanding Teaching Programme” and this involves training events and the sharing of best practice across teams. It also includes time for innovation and collaborative working to develop resources. </w:t>
      </w:r>
    </w:p>
    <w:p w14:paraId="18679C92" w14:textId="77777777" w:rsidR="00024D58" w:rsidRPr="00024D58" w:rsidRDefault="00024D58" w:rsidP="00024D58">
      <w:pPr>
        <w:jc w:val="both"/>
        <w:rPr>
          <w:rFonts w:asciiTheme="majorHAnsi" w:hAnsiTheme="majorHAnsi" w:cs="Arial"/>
          <w:iCs/>
          <w:lang w:eastAsia="en-US"/>
        </w:rPr>
      </w:pPr>
    </w:p>
    <w:p w14:paraId="59EE3AAB" w14:textId="77777777" w:rsidR="00024D58" w:rsidRPr="00024D58" w:rsidRDefault="00024D58" w:rsidP="00024D58">
      <w:pPr>
        <w:jc w:val="both"/>
        <w:rPr>
          <w:rFonts w:asciiTheme="majorHAnsi" w:hAnsiTheme="majorHAnsi" w:cs="Arial"/>
          <w:iCs/>
          <w:lang w:eastAsia="en-US"/>
        </w:rPr>
      </w:pPr>
      <w:r w:rsidRPr="00024D58">
        <w:rPr>
          <w:rFonts w:asciiTheme="majorHAnsi" w:hAnsiTheme="majorHAnsi" w:cs="Arial"/>
          <w:iCs/>
          <w:lang w:eastAsia="en-US"/>
        </w:rPr>
        <w:t>This is a good opportunity for an enthusiastic, well qualified person to be part of very successful department in a successful 11-18 school.</w:t>
      </w:r>
    </w:p>
    <w:p w14:paraId="234DA3B7" w14:textId="77777777" w:rsidR="00024D58" w:rsidRPr="00024D58" w:rsidRDefault="00024D58" w:rsidP="00024D58">
      <w:pPr>
        <w:jc w:val="both"/>
        <w:rPr>
          <w:rFonts w:ascii="Calibri" w:hAnsi="Calibri" w:cs="Arial"/>
          <w:iCs/>
          <w:lang w:eastAsia="en-US"/>
        </w:rPr>
      </w:pPr>
    </w:p>
    <w:p w14:paraId="798896C6" w14:textId="77777777" w:rsidR="00024D58" w:rsidRPr="0086590A" w:rsidRDefault="00024D58" w:rsidP="00024D58">
      <w:pPr>
        <w:rPr>
          <w:rFonts w:ascii="IBM Plex Sans Condensed" w:hAnsi="IBM Plex Sans Condensed"/>
        </w:rPr>
      </w:pPr>
    </w:p>
    <w:sectPr w:rsidR="00024D58" w:rsidRPr="0086590A" w:rsidSect="00111EBD">
      <w:headerReference w:type="default" r:id="rId8"/>
      <w:footerReference w:type="default" r:id="rId9"/>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10EA8" w14:textId="77777777" w:rsidR="00B674E9" w:rsidRDefault="00B674E9">
      <w:r>
        <w:separator/>
      </w:r>
    </w:p>
  </w:endnote>
  <w:endnote w:type="continuationSeparator" w:id="0">
    <w:p w14:paraId="59C49838" w14:textId="77777777" w:rsidR="00B674E9" w:rsidRDefault="00B6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BM Plex Sans Condensed">
    <w:charset w:val="00"/>
    <w:family w:val="swiss"/>
    <w:pitch w:val="variable"/>
    <w:sig w:usb0="A000006F" w:usb1="5000207B" w:usb2="00000000" w:usb3="00000000" w:csb0="00000193"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F8B33" w14:textId="0978D3B9" w:rsidR="0086590A" w:rsidRDefault="0086590A">
    <w:pPr>
      <w:pStyle w:val="Footer"/>
    </w:pPr>
    <w:r>
      <w:rPr>
        <w:noProof/>
      </w:rPr>
      <w:drawing>
        <wp:anchor distT="0" distB="0" distL="114300" distR="114300" simplePos="0" relativeHeight="251659264" behindDoc="1" locked="0" layoutInCell="1" allowOverlap="1" wp14:anchorId="7B5F1E8B" wp14:editId="2B72A62E">
          <wp:simplePos x="0" y="0"/>
          <wp:positionH relativeFrom="column">
            <wp:posOffset>-937895</wp:posOffset>
          </wp:positionH>
          <wp:positionV relativeFrom="paragraph">
            <wp:posOffset>-623403</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6FC85" w14:textId="77777777" w:rsidR="00B674E9" w:rsidRDefault="00B674E9">
      <w:r>
        <w:separator/>
      </w:r>
    </w:p>
  </w:footnote>
  <w:footnote w:type="continuationSeparator" w:id="0">
    <w:p w14:paraId="0258E24A" w14:textId="77777777" w:rsidR="00B674E9" w:rsidRDefault="00B67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5B46A" w14:textId="5B2C82E6" w:rsidR="0086590A" w:rsidRDefault="0086590A">
    <w:pPr>
      <w:pStyle w:val="Header"/>
    </w:pPr>
    <w:r>
      <w:rPr>
        <w:noProof/>
      </w:rPr>
      <w:drawing>
        <wp:anchor distT="0" distB="0" distL="114300" distR="114300" simplePos="0" relativeHeight="251658240" behindDoc="1" locked="0" layoutInCell="1" allowOverlap="1" wp14:anchorId="55A69BCD" wp14:editId="088E62A8">
          <wp:simplePos x="0" y="0"/>
          <wp:positionH relativeFrom="column">
            <wp:posOffset>-938463</wp:posOffset>
          </wp:positionH>
          <wp:positionV relativeFrom="paragraph">
            <wp:posOffset>-460342</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718640" cy="12962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86210"/>
    <w:multiLevelType w:val="hybridMultilevel"/>
    <w:tmpl w:val="9D30E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340FB6"/>
    <w:multiLevelType w:val="hybridMultilevel"/>
    <w:tmpl w:val="E1EC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7448E5"/>
    <w:multiLevelType w:val="hybridMultilevel"/>
    <w:tmpl w:val="58D41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9B2F1C"/>
    <w:multiLevelType w:val="hybridMultilevel"/>
    <w:tmpl w:val="EA5432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321DD4"/>
    <w:multiLevelType w:val="hybridMultilevel"/>
    <w:tmpl w:val="22D6B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9CA39EB"/>
    <w:multiLevelType w:val="hybridMultilevel"/>
    <w:tmpl w:val="69A426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25544682">
    <w:abstractNumId w:val="4"/>
  </w:num>
  <w:num w:numId="2" w16cid:durableId="1059400312">
    <w:abstractNumId w:val="2"/>
  </w:num>
  <w:num w:numId="3" w16cid:durableId="1877545174">
    <w:abstractNumId w:val="5"/>
  </w:num>
  <w:num w:numId="4" w16cid:durableId="225454728">
    <w:abstractNumId w:val="0"/>
  </w:num>
  <w:num w:numId="5" w16cid:durableId="1386485980">
    <w:abstractNumId w:val="1"/>
  </w:num>
  <w:num w:numId="6" w16cid:durableId="20029032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13"/>
    <w:rsid w:val="00013A88"/>
    <w:rsid w:val="00024D58"/>
    <w:rsid w:val="000404C9"/>
    <w:rsid w:val="00062BF3"/>
    <w:rsid w:val="00064897"/>
    <w:rsid w:val="00082463"/>
    <w:rsid w:val="000C3558"/>
    <w:rsid w:val="000D00F4"/>
    <w:rsid w:val="0010165F"/>
    <w:rsid w:val="001053F1"/>
    <w:rsid w:val="00111EBD"/>
    <w:rsid w:val="001A0283"/>
    <w:rsid w:val="001B0BBA"/>
    <w:rsid w:val="001D4B6B"/>
    <w:rsid w:val="00227C37"/>
    <w:rsid w:val="0023156D"/>
    <w:rsid w:val="002422E0"/>
    <w:rsid w:val="002B31E5"/>
    <w:rsid w:val="002C46A0"/>
    <w:rsid w:val="00312EDB"/>
    <w:rsid w:val="00313E4C"/>
    <w:rsid w:val="0037217E"/>
    <w:rsid w:val="0037446D"/>
    <w:rsid w:val="003B62B1"/>
    <w:rsid w:val="003C7D01"/>
    <w:rsid w:val="00407A91"/>
    <w:rsid w:val="0042135F"/>
    <w:rsid w:val="004260B8"/>
    <w:rsid w:val="004612FE"/>
    <w:rsid w:val="00481B4E"/>
    <w:rsid w:val="0048730D"/>
    <w:rsid w:val="004906A3"/>
    <w:rsid w:val="004A00BB"/>
    <w:rsid w:val="004A4C42"/>
    <w:rsid w:val="004D451A"/>
    <w:rsid w:val="00500267"/>
    <w:rsid w:val="005225D4"/>
    <w:rsid w:val="005773D0"/>
    <w:rsid w:val="00623D45"/>
    <w:rsid w:val="00643313"/>
    <w:rsid w:val="00662153"/>
    <w:rsid w:val="006E406B"/>
    <w:rsid w:val="006F4499"/>
    <w:rsid w:val="0070226B"/>
    <w:rsid w:val="00727995"/>
    <w:rsid w:val="007601D7"/>
    <w:rsid w:val="0077437D"/>
    <w:rsid w:val="00781617"/>
    <w:rsid w:val="00795B28"/>
    <w:rsid w:val="007C70C1"/>
    <w:rsid w:val="007D4267"/>
    <w:rsid w:val="00804A5B"/>
    <w:rsid w:val="00814454"/>
    <w:rsid w:val="0085457A"/>
    <w:rsid w:val="0086590A"/>
    <w:rsid w:val="008966D7"/>
    <w:rsid w:val="008A3124"/>
    <w:rsid w:val="008A59F8"/>
    <w:rsid w:val="008D534F"/>
    <w:rsid w:val="00901DAC"/>
    <w:rsid w:val="0091325F"/>
    <w:rsid w:val="00923ADF"/>
    <w:rsid w:val="009342BE"/>
    <w:rsid w:val="0095286E"/>
    <w:rsid w:val="00961909"/>
    <w:rsid w:val="00967A8F"/>
    <w:rsid w:val="0097260D"/>
    <w:rsid w:val="009726AD"/>
    <w:rsid w:val="009836A4"/>
    <w:rsid w:val="009B518B"/>
    <w:rsid w:val="009E4AD9"/>
    <w:rsid w:val="009E77EA"/>
    <w:rsid w:val="009F4A9F"/>
    <w:rsid w:val="00A01F7B"/>
    <w:rsid w:val="00A14080"/>
    <w:rsid w:val="00A32861"/>
    <w:rsid w:val="00A500DD"/>
    <w:rsid w:val="00A546EE"/>
    <w:rsid w:val="00A712DD"/>
    <w:rsid w:val="00A7312C"/>
    <w:rsid w:val="00A86120"/>
    <w:rsid w:val="00AA6090"/>
    <w:rsid w:val="00AC1C31"/>
    <w:rsid w:val="00B56D68"/>
    <w:rsid w:val="00B667AC"/>
    <w:rsid w:val="00B674E9"/>
    <w:rsid w:val="00B96FE9"/>
    <w:rsid w:val="00BA0AF2"/>
    <w:rsid w:val="00C042AD"/>
    <w:rsid w:val="00C233B3"/>
    <w:rsid w:val="00C5228B"/>
    <w:rsid w:val="00C77EAB"/>
    <w:rsid w:val="00CA5699"/>
    <w:rsid w:val="00CD2280"/>
    <w:rsid w:val="00D42874"/>
    <w:rsid w:val="00D8780D"/>
    <w:rsid w:val="00DA33B0"/>
    <w:rsid w:val="00DB1E3A"/>
    <w:rsid w:val="00E029CF"/>
    <w:rsid w:val="00E11DDD"/>
    <w:rsid w:val="00E2298D"/>
    <w:rsid w:val="00E46601"/>
    <w:rsid w:val="00E86A5B"/>
    <w:rsid w:val="00EC3535"/>
    <w:rsid w:val="00F16FDD"/>
    <w:rsid w:val="00F45191"/>
    <w:rsid w:val="00FA7D6E"/>
    <w:rsid w:val="00FB497F"/>
    <w:rsid w:val="00FB56E8"/>
    <w:rsid w:val="00FD4D8E"/>
    <w:rsid w:val="00FE3B68"/>
    <w:rsid w:val="00FE4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C3C12"/>
  <w15:chartTrackingRefBased/>
  <w15:docId w15:val="{BE4E4C0A-1ECE-D449-987F-69A70CCE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A0283"/>
    <w:pPr>
      <w:tabs>
        <w:tab w:val="center" w:pos="4153"/>
        <w:tab w:val="right" w:pos="8306"/>
      </w:tabs>
    </w:pPr>
  </w:style>
  <w:style w:type="paragraph" w:styleId="Footer">
    <w:name w:val="footer"/>
    <w:basedOn w:val="Normal"/>
    <w:rsid w:val="001A0283"/>
    <w:pPr>
      <w:tabs>
        <w:tab w:val="center" w:pos="4153"/>
        <w:tab w:val="right" w:pos="8306"/>
      </w:tabs>
    </w:pPr>
  </w:style>
  <w:style w:type="character" w:styleId="Emphasis">
    <w:name w:val="Emphasis"/>
    <w:qFormat/>
    <w:rsid w:val="00312EDB"/>
    <w:rPr>
      <w:i/>
      <w:iCs/>
    </w:rPr>
  </w:style>
  <w:style w:type="paragraph" w:styleId="ListParagraph">
    <w:name w:val="List Paragraph"/>
    <w:basedOn w:val="Normal"/>
    <w:uiPriority w:val="34"/>
    <w:qFormat/>
    <w:rsid w:val="00FB497F"/>
    <w:pPr>
      <w:ind w:left="720"/>
      <w:contextualSpacing/>
    </w:pPr>
    <w:rPr>
      <w:lang w:val="en-US" w:eastAsia="en-US"/>
    </w:rPr>
  </w:style>
  <w:style w:type="paragraph" w:styleId="BalloonText">
    <w:name w:val="Balloon Text"/>
    <w:basedOn w:val="Normal"/>
    <w:link w:val="BalloonTextChar"/>
    <w:rsid w:val="00CA5699"/>
    <w:rPr>
      <w:rFonts w:ascii="Tahoma" w:hAnsi="Tahoma" w:cs="Tahoma"/>
      <w:sz w:val="16"/>
      <w:szCs w:val="16"/>
    </w:rPr>
  </w:style>
  <w:style w:type="character" w:customStyle="1" w:styleId="BalloonTextChar">
    <w:name w:val="Balloon Text Char"/>
    <w:link w:val="BalloonText"/>
    <w:rsid w:val="00CA5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04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usan\Application%20Data\Microsoft\Templates\Internal%20Head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Internal Headings</Template>
  <TotalTime>1</TotalTime>
  <Pages>2</Pages>
  <Words>565</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HISTORY &amp; POLITICS DEPARTMENT</vt:lpstr>
    </vt:vector>
  </TitlesOfParts>
  <Company>chs</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&amp; POLITICS DEPARTMENT</dc:title>
  <dc:subject/>
  <dc:creator>Waite</dc:creator>
  <cp:keywords/>
  <cp:lastModifiedBy>V.Morgan</cp:lastModifiedBy>
  <cp:revision>2</cp:revision>
  <cp:lastPrinted>2014-04-03T11:20:00Z</cp:lastPrinted>
  <dcterms:created xsi:type="dcterms:W3CDTF">2025-05-08T17:30:00Z</dcterms:created>
  <dcterms:modified xsi:type="dcterms:W3CDTF">2025-05-08T17:30:00Z</dcterms:modified>
</cp:coreProperties>
</file>