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014E1EFF" w14:paraId="491C8FA4" w14:textId="1828FA99">
        <w:trPr>
          <w:trHeight w:val="300"/>
        </w:trPr>
        <w:tc>
          <w:tcPr>
            <w:tcW w:w="11052" w:type="dxa"/>
            <w:gridSpan w:val="3"/>
            <w:tcMar/>
            <w:vAlign w:val="center"/>
          </w:tcPr>
          <w:p w:rsidRPr="00D83AA3" w:rsidR="00E741AE" w:rsidP="00BA45DC" w:rsidRDefault="00F72BA4" w14:paraId="4E3A8083" w14:textId="7CCA8F9A">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B90835">
              <w:rPr>
                <w:rFonts w:ascii="Twinkl" w:hAnsi="Twinkl"/>
                <w:b/>
                <w:sz w:val="36"/>
                <w:szCs w:val="40"/>
              </w:rPr>
              <w:t>9</w:t>
            </w:r>
            <w:r w:rsidRPr="00D83AA3" w:rsidR="006D13B2">
              <w:rPr>
                <w:rFonts w:ascii="Twinkl" w:hAnsi="Twinkl"/>
                <w:b/>
                <w:sz w:val="36"/>
                <w:szCs w:val="40"/>
              </w:rPr>
              <w:t xml:space="preserve"> </w:t>
            </w:r>
            <w:r w:rsidRPr="00D83AA3" w:rsidR="00F73817">
              <w:rPr>
                <w:rFonts w:ascii="Twinkl" w:hAnsi="Twinkl"/>
                <w:b/>
                <w:sz w:val="36"/>
                <w:szCs w:val="40"/>
              </w:rPr>
              <w:t>FRENCH</w:t>
            </w:r>
            <w:r w:rsidR="007C10DD">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proofErr w:type="gramStart"/>
            <w:r w:rsidRPr="00D83AA3">
              <w:rPr>
                <w:rFonts w:ascii="Twinkl" w:hAnsi="Twinkl"/>
                <w:b/>
                <w:sz w:val="22"/>
                <w:szCs w:val="22"/>
              </w:rPr>
              <w:t>all</w:t>
            </w:r>
            <w:proofErr w:type="gramEnd"/>
            <w:r w:rsidRPr="00D83AA3">
              <w:rPr>
                <w:rFonts w:ascii="Twinkl" w:hAnsi="Twinkl"/>
                <w:b/>
                <w:sz w:val="22"/>
                <w:szCs w:val="22"/>
              </w:rPr>
              <w:t>’</w:t>
            </w:r>
          </w:p>
          <w:p w:rsidRPr="00D83AA3" w:rsidR="006B672F" w:rsidP="00AB18B5" w:rsidRDefault="006B672F" w14:paraId="77227CDF" w14:textId="7A9FFE90">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252866">
              <w:rPr>
                <w:rFonts w:ascii="Twinkl" w:hAnsi="Twinkl"/>
                <w:b/>
                <w:sz w:val="32"/>
                <w:szCs w:val="32"/>
              </w:rPr>
              <w:t>Music</w:t>
            </w:r>
          </w:p>
        </w:tc>
      </w:tr>
      <w:tr w:rsidRPr="00D83AA3" w:rsidR="00BA02B9" w:rsidTr="014E1EFF" w14:paraId="6E82A71D" w14:textId="77777777">
        <w:trPr>
          <w:trHeight w:val="300"/>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B17A4A" w:rsidR="00A863D0" w:rsidP="00A863D0" w:rsidRDefault="00A863D0" w14:paraId="4596B23D" w14:textId="74DFC339">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Pr>
                <w:rFonts w:cstheme="minorHAnsi"/>
                <w:b/>
                <w:bCs/>
                <w:sz w:val="20"/>
                <w:szCs w:val="20"/>
              </w:rPr>
              <w:t>8,</w:t>
            </w:r>
            <w:r w:rsidRPr="00B17A4A">
              <w:rPr>
                <w:rFonts w:cstheme="minorHAnsi"/>
                <w:b/>
                <w:bCs/>
                <w:sz w:val="20"/>
                <w:szCs w:val="20"/>
              </w:rPr>
              <w:t xml:space="preserve"> pupils </w:t>
            </w:r>
            <w:r>
              <w:rPr>
                <w:rFonts w:cstheme="minorHAnsi"/>
                <w:b/>
                <w:bCs/>
                <w:sz w:val="20"/>
                <w:szCs w:val="20"/>
              </w:rPr>
              <w:t>will be taught, following National Curriculum guidelines, the following this term</w:t>
            </w:r>
            <w:r w:rsidRPr="00B17A4A">
              <w:rPr>
                <w:rFonts w:cstheme="minorHAnsi"/>
                <w:b/>
                <w:bCs/>
                <w:sz w:val="20"/>
                <w:szCs w:val="20"/>
              </w:rPr>
              <w:t>:</w:t>
            </w:r>
          </w:p>
          <w:p w:rsidR="00A863D0" w:rsidP="00D77D22" w:rsidRDefault="003B2598" w14:paraId="6E2CBE8A" w14:textId="4A2918B7">
            <w:pPr>
              <w:rPr>
                <w:rFonts w:ascii="Calibri" w:hAnsi="Calibri" w:eastAsia="Calibri" w:cs="Calibri"/>
                <w:b/>
                <w:bCs/>
                <w:sz w:val="20"/>
                <w:szCs w:val="20"/>
              </w:rPr>
            </w:pPr>
            <w:proofErr w:type="spellStart"/>
            <w:r>
              <w:rPr>
                <w:rFonts w:ascii="Calibri" w:hAnsi="Calibri" w:eastAsia="Calibri" w:cs="Calibri"/>
                <w:b/>
                <w:bCs/>
                <w:sz w:val="20"/>
                <w:szCs w:val="20"/>
              </w:rPr>
              <w:t>sn</w:t>
            </w:r>
            <w:proofErr w:type="spellEnd"/>
          </w:p>
          <w:p w:rsidR="00D77D22" w:rsidP="00D77D22" w:rsidRDefault="00D77D22" w14:paraId="4F373873" w14:textId="146E7FE2">
            <w:r w:rsidRPr="4C21101C">
              <w:rPr>
                <w:rFonts w:ascii="Calibri" w:hAnsi="Calibri" w:eastAsia="Calibri" w:cs="Calibri"/>
                <w:b/>
                <w:bCs/>
                <w:sz w:val="20"/>
                <w:szCs w:val="20"/>
              </w:rPr>
              <w:t>Listening and Speaking</w:t>
            </w:r>
          </w:p>
          <w:p w:rsidR="00D77D22" w:rsidP="00D77D22" w:rsidRDefault="00D77D22" w14:paraId="5308567F" w14:textId="77777777">
            <w:pPr>
              <w:pStyle w:val="ListParagraph"/>
              <w:numPr>
                <w:ilvl w:val="0"/>
                <w:numId w:val="36"/>
              </w:numPr>
              <w:rPr>
                <w:rFonts w:eastAsiaTheme="minorEastAsia"/>
                <w:sz w:val="20"/>
                <w:szCs w:val="20"/>
              </w:rPr>
            </w:pPr>
            <w:r w:rsidRPr="4C21101C">
              <w:rPr>
                <w:sz w:val="20"/>
                <w:szCs w:val="20"/>
              </w:rPr>
              <w:t xml:space="preserve">To begin to interpret what they hear from content and tone and listen for </w:t>
            </w:r>
            <w:proofErr w:type="gramStart"/>
            <w:r w:rsidRPr="4C21101C">
              <w:rPr>
                <w:sz w:val="20"/>
                <w:szCs w:val="20"/>
              </w:rPr>
              <w:t>inferences</w:t>
            </w:r>
            <w:proofErr w:type="gramEnd"/>
          </w:p>
          <w:p w:rsidR="00D77D22" w:rsidP="00D77D22" w:rsidRDefault="00D77D22" w14:paraId="01EB376F" w14:textId="77777777">
            <w:pPr>
              <w:pStyle w:val="ListParagraph"/>
              <w:numPr>
                <w:ilvl w:val="0"/>
                <w:numId w:val="36"/>
              </w:numPr>
              <w:rPr>
                <w:rFonts w:eastAsiaTheme="minorEastAsia"/>
                <w:sz w:val="20"/>
                <w:szCs w:val="20"/>
              </w:rPr>
            </w:pPr>
            <w:r w:rsidRPr="4C21101C">
              <w:rPr>
                <w:sz w:val="20"/>
                <w:szCs w:val="20"/>
              </w:rPr>
              <w:t>How to report or paraphrase what they hear</w:t>
            </w:r>
          </w:p>
          <w:p w:rsidR="00D77D22" w:rsidP="00D77D22" w:rsidRDefault="00D77D22" w14:paraId="37BA4304" w14:textId="77777777">
            <w:pPr>
              <w:pStyle w:val="ListParagraph"/>
              <w:numPr>
                <w:ilvl w:val="0"/>
                <w:numId w:val="36"/>
              </w:numPr>
              <w:rPr>
                <w:rFonts w:eastAsiaTheme="minorEastAsia"/>
                <w:sz w:val="20"/>
                <w:szCs w:val="20"/>
              </w:rPr>
            </w:pPr>
            <w:r w:rsidRPr="4C21101C">
              <w:rPr>
                <w:sz w:val="20"/>
                <w:szCs w:val="20"/>
              </w:rPr>
              <w:t>How to use questions or text as a stimulus for a spoken response</w:t>
            </w:r>
          </w:p>
          <w:p w:rsidRPr="00BA2225" w:rsidR="00BA2225" w:rsidP="00BA2225" w:rsidRDefault="00D77D22" w14:paraId="1FBD1067" w14:textId="77777777">
            <w:pPr>
              <w:pStyle w:val="ListParagraph"/>
              <w:numPr>
                <w:ilvl w:val="0"/>
                <w:numId w:val="36"/>
              </w:numPr>
              <w:rPr>
                <w:rFonts w:eastAsiaTheme="minorEastAsia"/>
                <w:sz w:val="20"/>
                <w:szCs w:val="20"/>
              </w:rPr>
            </w:pPr>
            <w:r w:rsidRPr="4C21101C">
              <w:rPr>
                <w:sz w:val="20"/>
                <w:szCs w:val="20"/>
              </w:rPr>
              <w:t>How to make extended and/or frequent contributions to classroom work and talk</w:t>
            </w:r>
          </w:p>
          <w:p w:rsidRPr="00BA2225" w:rsidR="00D77D22" w:rsidP="00BA2225" w:rsidRDefault="00D77D22" w14:paraId="0D7C8F46" w14:textId="7D0E115D">
            <w:pPr>
              <w:pStyle w:val="ListParagraph"/>
              <w:numPr>
                <w:ilvl w:val="0"/>
                <w:numId w:val="36"/>
              </w:numPr>
              <w:rPr>
                <w:rFonts w:eastAsiaTheme="minorEastAsia"/>
                <w:sz w:val="20"/>
                <w:szCs w:val="20"/>
              </w:rPr>
            </w:pPr>
            <w:r w:rsidRPr="00BA2225">
              <w:rPr>
                <w:sz w:val="20"/>
                <w:szCs w:val="20"/>
              </w:rPr>
              <w:t>How to identify and adapt the degree of formality of language to suit different situations</w:t>
            </w:r>
          </w:p>
        </w:tc>
        <w:tc>
          <w:tcPr>
            <w:tcW w:w="5141" w:type="dxa"/>
            <w:vMerge w:val="restart"/>
            <w:tcMar/>
          </w:tcPr>
          <w:p w:rsidRPr="00B17A4A" w:rsidR="00A863D0" w:rsidP="00A863D0" w:rsidRDefault="00A863D0" w14:paraId="214823EA" w14:textId="77777777">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Pr>
                <w:rFonts w:cstheme="minorHAnsi"/>
                <w:b/>
                <w:bCs/>
                <w:sz w:val="20"/>
                <w:szCs w:val="20"/>
              </w:rPr>
              <w:t>8,</w:t>
            </w:r>
            <w:r w:rsidRPr="00B17A4A">
              <w:rPr>
                <w:rFonts w:cstheme="minorHAnsi"/>
                <w:b/>
                <w:bCs/>
                <w:sz w:val="20"/>
                <w:szCs w:val="20"/>
              </w:rPr>
              <w:t xml:space="preserve"> pupils </w:t>
            </w:r>
            <w:r>
              <w:rPr>
                <w:rFonts w:cstheme="minorHAnsi"/>
                <w:b/>
                <w:bCs/>
                <w:sz w:val="20"/>
                <w:szCs w:val="20"/>
              </w:rPr>
              <w:t>will be taught, following National Curriculum guidelines, the following this term</w:t>
            </w:r>
            <w:r w:rsidRPr="00B17A4A">
              <w:rPr>
                <w:rFonts w:cstheme="minorHAnsi"/>
                <w:b/>
                <w:bCs/>
                <w:sz w:val="20"/>
                <w:szCs w:val="20"/>
              </w:rPr>
              <w:t>:</w:t>
            </w:r>
          </w:p>
          <w:p w:rsidR="00A863D0" w:rsidP="001D1F3B" w:rsidRDefault="00A863D0" w14:paraId="7DD2453B" w14:textId="77777777">
            <w:pPr>
              <w:rPr>
                <w:rFonts w:ascii="Calibri" w:hAnsi="Calibri" w:eastAsia="Calibri" w:cs="Calibri"/>
                <w:b/>
                <w:bCs/>
                <w:sz w:val="20"/>
                <w:szCs w:val="20"/>
              </w:rPr>
            </w:pPr>
          </w:p>
          <w:p w:rsidR="00A863D0" w:rsidP="001D1F3B" w:rsidRDefault="00A863D0" w14:paraId="2E8F4F00" w14:textId="77777777">
            <w:pPr>
              <w:rPr>
                <w:rFonts w:ascii="Calibri" w:hAnsi="Calibri" w:eastAsia="Calibri" w:cs="Calibri"/>
                <w:b/>
                <w:bCs/>
                <w:sz w:val="20"/>
                <w:szCs w:val="20"/>
              </w:rPr>
            </w:pPr>
          </w:p>
          <w:p w:rsidR="001D1F3B" w:rsidP="001D1F3B" w:rsidRDefault="001D1F3B" w14:paraId="51A7CEFF" w14:textId="06B6D17D">
            <w:r w:rsidRPr="4C21101C">
              <w:rPr>
                <w:rFonts w:ascii="Calibri" w:hAnsi="Calibri" w:eastAsia="Calibri" w:cs="Calibri"/>
                <w:b/>
                <w:bCs/>
                <w:sz w:val="20"/>
                <w:szCs w:val="20"/>
              </w:rPr>
              <w:t>Reading and Writing</w:t>
            </w:r>
          </w:p>
          <w:p w:rsidR="001D1F3B" w:rsidP="001D1F3B" w:rsidRDefault="001D1F3B" w14:paraId="44699667" w14:textId="77777777">
            <w:pPr>
              <w:pStyle w:val="ListParagraph"/>
              <w:numPr>
                <w:ilvl w:val="0"/>
                <w:numId w:val="35"/>
              </w:numPr>
              <w:rPr>
                <w:rFonts w:eastAsiaTheme="minorEastAsia"/>
                <w:sz w:val="20"/>
                <w:szCs w:val="20"/>
              </w:rPr>
            </w:pPr>
            <w:r w:rsidRPr="4C21101C">
              <w:rPr>
                <w:sz w:val="20"/>
                <w:szCs w:val="20"/>
              </w:rPr>
              <w:t>How to use their knowledge of context and grammar to understand texts involving complex language</w:t>
            </w:r>
          </w:p>
          <w:p w:rsidR="001D1F3B" w:rsidP="001D1F3B" w:rsidRDefault="001D1F3B" w14:paraId="21BBD5CC" w14:textId="77777777">
            <w:pPr>
              <w:pStyle w:val="ListParagraph"/>
              <w:numPr>
                <w:ilvl w:val="0"/>
                <w:numId w:val="35"/>
              </w:numPr>
              <w:rPr>
                <w:rFonts w:eastAsiaTheme="minorEastAsia"/>
                <w:sz w:val="20"/>
                <w:szCs w:val="20"/>
              </w:rPr>
            </w:pPr>
            <w:r w:rsidRPr="4C21101C">
              <w:rPr>
                <w:sz w:val="20"/>
                <w:szCs w:val="20"/>
              </w:rPr>
              <w:t xml:space="preserve">To notice simple features used for effect in written </w:t>
            </w:r>
            <w:proofErr w:type="gramStart"/>
            <w:r w:rsidRPr="4C21101C">
              <w:rPr>
                <w:sz w:val="20"/>
                <w:szCs w:val="20"/>
              </w:rPr>
              <w:t>text</w:t>
            </w:r>
            <w:proofErr w:type="gramEnd"/>
          </w:p>
          <w:p w:rsidR="001D1F3B" w:rsidP="001D1F3B" w:rsidRDefault="001D1F3B" w14:paraId="3E05A78F" w14:textId="77777777">
            <w:pPr>
              <w:pStyle w:val="ListParagraph"/>
              <w:numPr>
                <w:ilvl w:val="0"/>
                <w:numId w:val="35"/>
              </w:numPr>
              <w:rPr>
                <w:rFonts w:eastAsiaTheme="minorEastAsia"/>
                <w:sz w:val="20"/>
                <w:szCs w:val="20"/>
              </w:rPr>
            </w:pPr>
            <w:r w:rsidRPr="4C21101C">
              <w:rPr>
                <w:sz w:val="20"/>
                <w:szCs w:val="20"/>
              </w:rPr>
              <w:t>How to use and develop their language knowledge and skills through contact with authentic texts</w:t>
            </w:r>
          </w:p>
          <w:p w:rsidR="001D1F3B" w:rsidP="001D1F3B" w:rsidRDefault="001D1F3B" w14:paraId="79F9F87B" w14:textId="77777777">
            <w:pPr>
              <w:pStyle w:val="ListParagraph"/>
              <w:numPr>
                <w:ilvl w:val="0"/>
                <w:numId w:val="35"/>
              </w:numPr>
              <w:rPr>
                <w:rFonts w:eastAsiaTheme="minorEastAsia"/>
                <w:sz w:val="20"/>
                <w:szCs w:val="20"/>
              </w:rPr>
            </w:pPr>
            <w:r w:rsidRPr="4C21101C">
              <w:rPr>
                <w:sz w:val="20"/>
                <w:szCs w:val="20"/>
              </w:rPr>
              <w:t>How to select from and use appropriately a range of support materials when reading or writing</w:t>
            </w:r>
          </w:p>
          <w:p w:rsidR="001D1F3B" w:rsidP="001D1F3B" w:rsidRDefault="001D1F3B" w14:paraId="05BE773B" w14:textId="77777777">
            <w:pPr>
              <w:pStyle w:val="ListParagraph"/>
              <w:numPr>
                <w:ilvl w:val="0"/>
                <w:numId w:val="35"/>
              </w:numPr>
              <w:rPr>
                <w:rFonts w:eastAsiaTheme="minorEastAsia"/>
                <w:sz w:val="20"/>
                <w:szCs w:val="20"/>
              </w:rPr>
            </w:pPr>
            <w:r w:rsidRPr="4C21101C">
              <w:rPr>
                <w:sz w:val="20"/>
                <w:szCs w:val="20"/>
              </w:rPr>
              <w:t xml:space="preserve">To begin to write creatively in the target language using simple literary devices and standard text conventions such as </w:t>
            </w:r>
            <w:proofErr w:type="gramStart"/>
            <w:r w:rsidRPr="4C21101C">
              <w:rPr>
                <w:sz w:val="20"/>
                <w:szCs w:val="20"/>
              </w:rPr>
              <w:t>paragraphs</w:t>
            </w:r>
            <w:proofErr w:type="gramEnd"/>
          </w:p>
          <w:p w:rsidRPr="001D1F3B" w:rsidR="007B5C99" w:rsidP="001D1F3B" w:rsidRDefault="001D1F3B" w14:paraId="489746C4" w14:textId="5E37DC1C">
            <w:pPr>
              <w:pStyle w:val="ListParagraph"/>
              <w:numPr>
                <w:ilvl w:val="0"/>
                <w:numId w:val="35"/>
              </w:numPr>
              <w:rPr>
                <w:sz w:val="20"/>
                <w:szCs w:val="20"/>
              </w:rPr>
            </w:pPr>
            <w:r w:rsidRPr="4C21101C">
              <w:rPr>
                <w:rFonts w:ascii="Calibri" w:hAnsi="Calibri" w:eastAsia="Calibri" w:cs="Calibri"/>
                <w:sz w:val="20"/>
                <w:szCs w:val="20"/>
              </w:rPr>
              <w:t>How to adapt a simple text for a different audience and purpos</w:t>
            </w:r>
            <w:r>
              <w:rPr>
                <w:rFonts w:ascii="Calibri" w:hAnsi="Calibri" w:eastAsia="Calibri" w:cs="Calibri"/>
                <w:sz w:val="20"/>
                <w:szCs w:val="20"/>
              </w:rPr>
              <w:t>e</w:t>
            </w:r>
          </w:p>
        </w:tc>
      </w:tr>
      <w:tr w:rsidRPr="00D83AA3" w:rsidR="00BA02B9" w:rsidTr="014E1EFF" w14:paraId="27CAE940" w14:textId="77777777">
        <w:trPr>
          <w:trHeight w:val="300"/>
        </w:trPr>
        <w:tc>
          <w:tcPr>
            <w:tcW w:w="2100" w:type="dxa"/>
            <w:shd w:val="clear" w:color="auto" w:fill="D0CECE" w:themeFill="background2" w:themeFillShade="E6"/>
            <w:tcMar/>
            <w:vAlign w:val="center"/>
          </w:tcPr>
          <w:p w:rsidRPr="00D83AA3" w:rsidR="00BA02B9" w:rsidP="00BA45DC" w:rsidRDefault="00BA02B9" w14:paraId="54C6F2B5" w14:textId="19D89FD8">
            <w:pPr>
              <w:jc w:val="center"/>
              <w:rPr>
                <w:rFonts w:ascii="Twinkl" w:hAnsi="Twinkl"/>
                <w:b/>
              </w:rPr>
            </w:pPr>
            <w:r w:rsidRPr="00D83AA3">
              <w:rPr>
                <w:rFonts w:ascii="Twinkl" w:hAnsi="Twinkl"/>
                <w:b/>
              </w:rPr>
              <w:t>Skill</w:t>
            </w:r>
            <w:r w:rsidR="00BA2225">
              <w:rPr>
                <w:rFonts w:ascii="Twinkl" w:hAnsi="Twinkl"/>
                <w:b/>
              </w:rPr>
              <w:t>s/</w:t>
            </w:r>
            <w:r w:rsidRPr="00D83AA3">
              <w:rPr>
                <w:rFonts w:ascii="Twinkl" w:hAnsi="Twinkl"/>
                <w:b/>
              </w:rPr>
              <w:t>National Curriculum Link</w:t>
            </w:r>
            <w:r w:rsidR="006C16F3">
              <w:rPr>
                <w:rFonts w:ascii="Twinkl" w:hAnsi="Twinkl"/>
                <w:b/>
              </w:rPr>
              <w:t>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014E1EFF" w14:paraId="71CE3CD1" w14:textId="77777777">
        <w:trPr>
          <w:trHeight w:val="300"/>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00B34CF1" w:rsidP="00B34CF1" w:rsidRDefault="00B34CF1" w14:paraId="31302853" w14:textId="77777777" w14:noSpellErr="1">
            <w:r w:rsidRPr="014E1EFF" w:rsidR="00B34CF1">
              <w:rPr>
                <w:rFonts w:ascii="Calibri" w:hAnsi="Calibri" w:eastAsia="Calibri" w:cs="Calibri"/>
                <w:b w:val="1"/>
                <w:bCs w:val="1"/>
                <w:sz w:val="20"/>
                <w:szCs w:val="20"/>
              </w:rPr>
              <w:t xml:space="preserve">SMSC: </w:t>
            </w:r>
            <w:r w:rsidRPr="014E1EFF" w:rsidR="00B34CF1">
              <w:rPr>
                <w:rFonts w:ascii="Calibri" w:hAnsi="Calibri" w:eastAsia="Calibri" w:cs="Calibri"/>
                <w:sz w:val="20"/>
                <w:szCs w:val="20"/>
              </w:rPr>
              <w:t xml:space="preserve">Learning how to express yourself and respect other people’s views/ culture, consider how you can </w:t>
            </w:r>
            <w:r w:rsidRPr="014E1EFF" w:rsidR="00B34CF1">
              <w:rPr>
                <w:rFonts w:ascii="Calibri" w:hAnsi="Calibri" w:eastAsia="Calibri" w:cs="Calibri"/>
                <w:sz w:val="20"/>
                <w:szCs w:val="20"/>
              </w:rPr>
              <w:t>participate</w:t>
            </w:r>
            <w:r w:rsidRPr="014E1EFF" w:rsidR="00B34CF1">
              <w:rPr>
                <w:rFonts w:ascii="Calibri" w:hAnsi="Calibri" w:eastAsia="Calibri" w:cs="Calibri"/>
                <w:sz w:val="20"/>
                <w:szCs w:val="20"/>
              </w:rPr>
              <w:t xml:space="preserve"> in the local community through paid and voluntary </w:t>
            </w:r>
            <w:r w:rsidRPr="014E1EFF" w:rsidR="00B34CF1">
              <w:rPr>
                <w:rFonts w:ascii="Calibri" w:hAnsi="Calibri" w:eastAsia="Calibri" w:cs="Calibri"/>
                <w:sz w:val="20"/>
                <w:szCs w:val="20"/>
              </w:rPr>
              <w:t>work</w:t>
            </w:r>
          </w:p>
          <w:p w:rsidR="695A6F8B" w:rsidP="014E1EFF" w:rsidRDefault="695A6F8B" w14:paraId="6952E48C" w14:textId="0BBC1E23">
            <w:pPr>
              <w:rPr>
                <w:rFonts w:ascii="Calibri" w:hAnsi="Calibri" w:eastAsia="Calibri" w:cs="Calibri"/>
                <w:sz w:val="20"/>
                <w:szCs w:val="20"/>
              </w:rPr>
            </w:pPr>
            <w:r w:rsidRPr="014E1EFF" w:rsidR="695A6F8B">
              <w:rPr>
                <w:rFonts w:ascii="Calibri" w:hAnsi="Calibri" w:eastAsia="Calibri" w:cs="Calibri"/>
                <w:sz w:val="20"/>
                <w:szCs w:val="20"/>
              </w:rPr>
              <w:t>Spring 1, 2, w/c 12 Jan 2026, Empathy and compassion – exploring different family roles and views.</w:t>
            </w:r>
          </w:p>
          <w:p w:rsidR="695A6F8B" w:rsidP="014E1EFF" w:rsidRDefault="695A6F8B" w14:paraId="481D4000" w14:textId="5F59D946">
            <w:pPr>
              <w:pStyle w:val="Normal"/>
            </w:pPr>
            <w:r w:rsidRPr="014E1EFF" w:rsidR="695A6F8B">
              <w:rPr>
                <w:rFonts w:ascii="Calibri" w:hAnsi="Calibri" w:eastAsia="Calibri" w:cs="Calibri"/>
                <w:sz w:val="20"/>
                <w:szCs w:val="20"/>
              </w:rPr>
              <w:t>Spring 2, 4, w/c 9 Mar 2026, Developing a sense of identity – expressing future plans and aspirations.</w:t>
            </w:r>
          </w:p>
          <w:p w:rsidR="014E1EFF" w:rsidP="014E1EFF" w:rsidRDefault="014E1EFF" w14:paraId="741E827D" w14:textId="0BD5C084">
            <w:pPr>
              <w:rPr>
                <w:rFonts w:ascii="Calibri" w:hAnsi="Calibri" w:eastAsia="Calibri" w:cs="Calibri"/>
                <w:sz w:val="20"/>
                <w:szCs w:val="20"/>
              </w:rPr>
            </w:pPr>
          </w:p>
          <w:p w:rsidR="00B34CF1" w:rsidP="00B34CF1" w:rsidRDefault="00B34CF1" w14:paraId="1F87D7B0" w14:textId="46435428">
            <w:r w:rsidRPr="4C21101C">
              <w:rPr>
                <w:rFonts w:ascii="Calibri" w:hAnsi="Calibri" w:eastAsia="Calibri" w:cs="Calibri"/>
                <w:b/>
                <w:bCs/>
                <w:sz w:val="20"/>
                <w:szCs w:val="20"/>
              </w:rPr>
              <w:t>PSHE</w:t>
            </w:r>
            <w:r w:rsidR="00D247F4">
              <w:rPr>
                <w:rFonts w:ascii="Calibri" w:hAnsi="Calibri" w:eastAsia="Calibri" w:cs="Calibri"/>
                <w:b/>
                <w:bCs/>
                <w:sz w:val="20"/>
                <w:szCs w:val="20"/>
              </w:rPr>
              <w:t>/British Values</w:t>
            </w:r>
            <w:r w:rsidRPr="4C21101C">
              <w:rPr>
                <w:rFonts w:ascii="Calibri" w:hAnsi="Calibri" w:eastAsia="Calibri" w:cs="Calibri"/>
                <w:b/>
                <w:bCs/>
                <w:sz w:val="20"/>
                <w:szCs w:val="20"/>
              </w:rPr>
              <w:t xml:space="preserve">: </w:t>
            </w:r>
            <w:r w:rsidRPr="4C21101C">
              <w:rPr>
                <w:rFonts w:ascii="Century Gothic" w:hAnsi="Century Gothic" w:eastAsia="Century Gothic" w:cs="Century Gothic"/>
                <w:color w:val="000000" w:themeColor="text1"/>
                <w:sz w:val="20"/>
                <w:szCs w:val="20"/>
              </w:rPr>
              <w:t xml:space="preserve"> </w:t>
            </w:r>
            <w:r w:rsidRPr="4C21101C">
              <w:rPr>
                <w:rFonts w:ascii="Calibri" w:hAnsi="Calibri" w:eastAsia="Calibri" w:cs="Calibri"/>
                <w:sz w:val="20"/>
                <w:szCs w:val="20"/>
              </w:rPr>
              <w:t xml:space="preserve">Use direct contact or media (job adverts) to discuss the qualities required in particular </w:t>
            </w:r>
            <w:proofErr w:type="gramStart"/>
            <w:r w:rsidRPr="4C21101C">
              <w:rPr>
                <w:rFonts w:ascii="Calibri" w:hAnsi="Calibri" w:eastAsia="Calibri" w:cs="Calibri"/>
                <w:sz w:val="20"/>
                <w:szCs w:val="20"/>
              </w:rPr>
              <w:t>jobs</w:t>
            </w:r>
            <w:proofErr w:type="gramEnd"/>
          </w:p>
          <w:p w:rsidR="00B34CF1" w:rsidP="00B34CF1" w:rsidRDefault="00B34CF1" w14:paraId="3CEA62FF" w14:textId="77777777">
            <w:r w:rsidRPr="4C21101C">
              <w:rPr>
                <w:rFonts w:ascii="Calibri" w:hAnsi="Calibri" w:eastAsia="Calibri" w:cs="Calibri"/>
                <w:b/>
                <w:bCs/>
                <w:sz w:val="20"/>
                <w:szCs w:val="20"/>
              </w:rPr>
              <w:t xml:space="preserve">Literacy: </w:t>
            </w:r>
            <w:r w:rsidRPr="4C21101C">
              <w:rPr>
                <w:rFonts w:ascii="Calibri" w:hAnsi="Calibri" w:eastAsia="Calibri" w:cs="Calibri"/>
                <w:color w:val="000000" w:themeColor="text1"/>
                <w:sz w:val="20"/>
                <w:szCs w:val="20"/>
              </w:rPr>
              <w:t xml:space="preserve">Use of grammatical terms when teaching and explaining grammar in relation to the English equivalents. Use of cognates and etymology to build knowledge of English Knowledge </w:t>
            </w:r>
            <w:proofErr w:type="spellStart"/>
            <w:r w:rsidRPr="4C21101C">
              <w:rPr>
                <w:rFonts w:ascii="Calibri" w:hAnsi="Calibri" w:eastAsia="Calibri" w:cs="Calibri"/>
                <w:color w:val="000000" w:themeColor="text1"/>
                <w:sz w:val="20"/>
                <w:szCs w:val="20"/>
              </w:rPr>
              <w:t>organisers</w:t>
            </w:r>
            <w:proofErr w:type="spellEnd"/>
            <w:r w:rsidRPr="4C21101C">
              <w:rPr>
                <w:rFonts w:ascii="Calibri" w:hAnsi="Calibri" w:eastAsia="Calibri" w:cs="Calibri"/>
                <w:color w:val="000000" w:themeColor="text1"/>
                <w:sz w:val="20"/>
                <w:szCs w:val="20"/>
              </w:rPr>
              <w:t>/sentence builders improve awareness of sentence formation.</w:t>
            </w:r>
          </w:p>
          <w:p w:rsidR="00B34CF1" w:rsidP="00B34CF1" w:rsidRDefault="00B34CF1" w14:paraId="06E494FA" w14:textId="77777777">
            <w:r w:rsidRPr="4C21101C">
              <w:rPr>
                <w:rFonts w:ascii="Calibri" w:hAnsi="Calibri" w:eastAsia="Calibri" w:cs="Calibri"/>
                <w:b/>
                <w:bCs/>
                <w:sz w:val="20"/>
                <w:szCs w:val="20"/>
              </w:rPr>
              <w:t xml:space="preserve">Numeracy: </w:t>
            </w:r>
            <w:r w:rsidRPr="4C21101C">
              <w:rPr>
                <w:rFonts w:ascii="Calibri" w:hAnsi="Calibri" w:eastAsia="Calibri" w:cs="Calibri"/>
                <w:sz w:val="20"/>
                <w:szCs w:val="20"/>
              </w:rPr>
              <w:t>Numbers, dates, time, money (euros)</w:t>
            </w:r>
          </w:p>
          <w:p w:rsidR="00B34CF1" w:rsidP="00B34CF1" w:rsidRDefault="00B34CF1" w14:paraId="0A33E11D" w14:textId="77777777">
            <w:pPr>
              <w:rPr>
                <w:rFonts w:ascii="Twinkl" w:hAnsi="Twinkl" w:eastAsia="Twinkl" w:cs="Twinkl"/>
                <w:sz w:val="20"/>
                <w:szCs w:val="20"/>
              </w:rPr>
            </w:pPr>
            <w:r w:rsidRPr="4C21101C">
              <w:rPr>
                <w:rFonts w:ascii="Calibri" w:hAnsi="Calibri" w:eastAsia="Calibri" w:cs="Calibri"/>
                <w:b/>
                <w:bCs/>
                <w:sz w:val="20"/>
                <w:szCs w:val="20"/>
              </w:rPr>
              <w:t xml:space="preserve">Skills Builder: </w:t>
            </w:r>
            <w:r w:rsidRPr="4C21101C">
              <w:rPr>
                <w:rFonts w:ascii="Calibri" w:hAnsi="Calibri" w:eastAsia="Calibri" w:cs="Calibri"/>
                <w:sz w:val="20"/>
                <w:szCs w:val="20"/>
              </w:rPr>
              <w:t>Listening, Presenting, Problem Solving, Creativity, Staying Positive, Aiming Higher, Leadership, Teamwork</w:t>
            </w:r>
          </w:p>
          <w:p w:rsidRPr="00D83AA3" w:rsidR="007041FD" w:rsidP="00BA45DC" w:rsidRDefault="007041FD" w14:paraId="46F64BFE" w14:textId="5DFEFD78">
            <w:pPr>
              <w:autoSpaceDE w:val="0"/>
              <w:autoSpaceDN w:val="0"/>
              <w:adjustRightInd w:val="0"/>
              <w:rPr>
                <w:rFonts w:ascii="Twinkl" w:hAnsi="Twinkl" w:cs="Arial"/>
                <w:bCs/>
                <w:sz w:val="20"/>
                <w:szCs w:val="20"/>
              </w:rPr>
            </w:pPr>
          </w:p>
        </w:tc>
      </w:tr>
      <w:tr w:rsidRPr="00D83AA3" w:rsidR="002D5DFE" w:rsidTr="014E1EFF" w14:paraId="55B110B1" w14:textId="77777777">
        <w:trPr>
          <w:trHeight w:val="300"/>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014E1EFF" w14:paraId="4D45A554" w14:textId="77777777">
        <w:trPr>
          <w:trHeight w:val="300"/>
        </w:trPr>
        <w:tc>
          <w:tcPr>
            <w:tcW w:w="2100" w:type="dxa"/>
            <w:shd w:val="clear" w:color="auto" w:fill="000000" w:themeFill="text1"/>
            <w:tcMar/>
            <w:vAlign w:val="center"/>
          </w:tcPr>
          <w:p w:rsidRPr="00D83AA3" w:rsidR="00BA02B9" w:rsidP="00BA45DC" w:rsidRDefault="00043385" w14:paraId="0CD4730C" w14:textId="236867A4">
            <w:pPr>
              <w:jc w:val="center"/>
              <w:rPr>
                <w:rFonts w:ascii="Twinkl" w:hAnsi="Twinkl"/>
                <w:b/>
                <w:sz w:val="22"/>
                <w:szCs w:val="22"/>
              </w:rPr>
            </w:pPr>
            <w:r>
              <w:rPr>
                <w:rFonts w:ascii="Twinkl" w:hAnsi="Twinkl"/>
                <w:b/>
                <w:sz w:val="22"/>
                <w:szCs w:val="22"/>
              </w:rPr>
              <w:t>Adaptation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w:t>
            </w:r>
            <w:proofErr w:type="gramStart"/>
            <w:r w:rsidRPr="00D83AA3">
              <w:rPr>
                <w:rStyle w:val="normaltextrun"/>
                <w:rFonts w:ascii="Twinkl" w:hAnsi="Twinkl" w:cs="Arial"/>
                <w:color w:val="000000"/>
                <w:sz w:val="20"/>
                <w:szCs w:val="20"/>
                <w:shd w:val="clear" w:color="auto" w:fill="FFFFFF"/>
              </w:rPr>
              <w:t>e.g.</w:t>
            </w:r>
            <w:proofErr w:type="gramEnd"/>
            <w:r w:rsidRPr="00D83AA3">
              <w:rPr>
                <w:rStyle w:val="normaltextrun"/>
                <w:rFonts w:ascii="Twinkl" w:hAnsi="Twinkl" w:cs="Arial"/>
                <w:color w:val="000000"/>
                <w:sz w:val="20"/>
                <w:szCs w:val="20"/>
                <w:shd w:val="clear" w:color="auto" w:fill="FFFFFF"/>
              </w:rPr>
              <w:t>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xml:space="preserve">: by providing different levels of supervision and </w:t>
            </w:r>
            <w:proofErr w:type="gramStart"/>
            <w:r w:rsidRPr="00D83AA3">
              <w:rPr>
                <w:rStyle w:val="normaltextrun"/>
                <w:rFonts w:ascii="Twinkl" w:hAnsi="Twinkl" w:cs="Arial"/>
                <w:color w:val="000000"/>
                <w:sz w:val="20"/>
                <w:szCs w:val="20"/>
                <w:shd w:val="clear" w:color="auto" w:fill="FFFFFF"/>
              </w:rPr>
              <w:t>support</w:t>
            </w:r>
            <w:proofErr w:type="gramEnd"/>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 xml:space="preserve">This QFT/SEND provision will be explicit within the </w:t>
            </w:r>
            <w:proofErr w:type="gramStart"/>
            <w:r w:rsidRPr="00D83AA3">
              <w:rPr>
                <w:rFonts w:ascii="Twinkl" w:hAnsi="Twinkl" w:eastAsia="Times New Roman" w:cs="Arial"/>
                <w:sz w:val="20"/>
                <w:szCs w:val="20"/>
                <w:lang w:val="en-GB" w:eastAsia="en-GB"/>
              </w:rPr>
              <w:t>lesson by lesson</w:t>
            </w:r>
            <w:proofErr w:type="gramEnd"/>
            <w:r w:rsidRPr="00D83AA3">
              <w:rPr>
                <w:rFonts w:ascii="Twinkl" w:hAnsi="Twinkl" w:eastAsia="Times New Roman" w:cs="Arial"/>
                <w:sz w:val="20"/>
                <w:szCs w:val="20"/>
                <w:lang w:val="en-GB" w:eastAsia="en-GB"/>
              </w:rPr>
              <w:t xml:space="preserve"> schemes of work.</w:t>
            </w:r>
          </w:p>
        </w:tc>
      </w:tr>
      <w:tr w:rsidRPr="00D83AA3" w:rsidR="00BA02B9" w:rsidTr="014E1EFF" w14:paraId="4DA79953" w14:textId="77777777">
        <w:trPr>
          <w:trHeight w:val="30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14E1EFF" w14:paraId="5C9CC8E4" w14:textId="77777777">
        <w:trPr>
          <w:trHeight w:val="300"/>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003C1B52" w:rsidP="003C1B52" w:rsidRDefault="003C1B52" w14:paraId="01544CA2" w14:textId="77777777">
            <w:pPr>
              <w:pStyle w:val="ListParagraph"/>
              <w:ind w:left="0"/>
              <w:rPr>
                <w:rFonts w:ascii="Twinkl" w:hAnsi="Twinkl"/>
                <w:bCs/>
                <w:sz w:val="20"/>
                <w:szCs w:val="20"/>
              </w:rPr>
            </w:pPr>
            <w:proofErr w:type="gramStart"/>
            <w:r w:rsidRPr="001A2A1E">
              <w:rPr>
                <w:rFonts w:ascii="Twinkl" w:hAnsi="Twinkl"/>
                <w:bCs/>
                <w:sz w:val="20"/>
                <w:szCs w:val="20"/>
              </w:rPr>
              <w:lastRenderedPageBreak/>
              <w:t>In order to</w:t>
            </w:r>
            <w:proofErr w:type="gramEnd"/>
            <w:r w:rsidRPr="001A2A1E">
              <w:rPr>
                <w:rFonts w:ascii="Twinkl" w:hAnsi="Twinkl"/>
                <w:bCs/>
                <w:sz w:val="20"/>
                <w:szCs w:val="20"/>
              </w:rPr>
              <w:t xml:space="preserve"> learn and master the specified content, our intent is that pupils will follow a progression model, building on previous learning, and will be able to do the following:</w:t>
            </w:r>
          </w:p>
          <w:p w:rsidR="003C1B52" w:rsidP="003C1B52" w:rsidRDefault="009E4D85" w14:paraId="4FE61B86" w14:textId="676562B4">
            <w:pPr>
              <w:pStyle w:val="ListParagraph"/>
              <w:ind w:left="0"/>
              <w:rPr>
                <w:rFonts w:ascii="Twinkl" w:hAnsi="Twinkl"/>
                <w:bCs/>
                <w:sz w:val="20"/>
                <w:szCs w:val="20"/>
              </w:rPr>
            </w:pPr>
            <w:r>
              <w:rPr>
                <w:rFonts w:ascii="Twinkl" w:hAnsi="Twinkl"/>
                <w:bCs/>
                <w:sz w:val="20"/>
                <w:szCs w:val="20"/>
              </w:rPr>
              <w:lastRenderedPageBreak/>
              <w:t xml:space="preserve">I can talk about musical </w:t>
            </w:r>
            <w:proofErr w:type="gramStart"/>
            <w:r>
              <w:rPr>
                <w:rFonts w:ascii="Twinkl" w:hAnsi="Twinkl"/>
                <w:bCs/>
                <w:sz w:val="20"/>
                <w:szCs w:val="20"/>
              </w:rPr>
              <w:t>tastes</w:t>
            </w:r>
            <w:proofErr w:type="gramEnd"/>
          </w:p>
          <w:p w:rsidR="00F45A34" w:rsidP="003C1B52" w:rsidRDefault="00F45A34" w14:paraId="797B4AB8" w14:textId="4B8797F3">
            <w:pPr>
              <w:pStyle w:val="ListParagraph"/>
              <w:ind w:left="0"/>
              <w:rPr>
                <w:rFonts w:ascii="Twinkl" w:hAnsi="Twinkl"/>
                <w:bCs/>
                <w:sz w:val="20"/>
                <w:szCs w:val="20"/>
              </w:rPr>
            </w:pPr>
            <w:r>
              <w:rPr>
                <w:rFonts w:ascii="Twinkl" w:hAnsi="Twinkl"/>
                <w:bCs/>
                <w:sz w:val="20"/>
                <w:szCs w:val="20"/>
              </w:rPr>
              <w:t xml:space="preserve">I can say which instrument I </w:t>
            </w:r>
            <w:proofErr w:type="gramStart"/>
            <w:r>
              <w:rPr>
                <w:rFonts w:ascii="Twinkl" w:hAnsi="Twinkl"/>
                <w:bCs/>
                <w:sz w:val="20"/>
                <w:szCs w:val="20"/>
              </w:rPr>
              <w:t>play</w:t>
            </w:r>
            <w:proofErr w:type="gramEnd"/>
          </w:p>
          <w:p w:rsidR="0038198B" w:rsidP="003C1B52" w:rsidRDefault="0038198B" w14:paraId="640815FB" w14:textId="27904BC8">
            <w:pPr>
              <w:pStyle w:val="ListParagraph"/>
              <w:ind w:left="0"/>
              <w:rPr>
                <w:rFonts w:ascii="Twinkl" w:hAnsi="Twinkl"/>
                <w:bCs/>
                <w:sz w:val="20"/>
                <w:szCs w:val="20"/>
              </w:rPr>
            </w:pPr>
            <w:r>
              <w:rPr>
                <w:rFonts w:ascii="Twinkl" w:hAnsi="Twinkl"/>
                <w:bCs/>
                <w:sz w:val="20"/>
                <w:szCs w:val="20"/>
              </w:rPr>
              <w:t xml:space="preserve">I can </w:t>
            </w:r>
            <w:r w:rsidRPr="00D25620">
              <w:rPr>
                <w:rFonts w:ascii="Twinkl" w:hAnsi="Twinkl"/>
                <w:bCs/>
                <w:color w:val="FF0000"/>
                <w:sz w:val="20"/>
                <w:szCs w:val="20"/>
              </w:rPr>
              <w:t xml:space="preserve">compare </w:t>
            </w:r>
            <w:r>
              <w:rPr>
                <w:rFonts w:ascii="Twinkl" w:hAnsi="Twinkl"/>
                <w:bCs/>
                <w:sz w:val="20"/>
                <w:szCs w:val="20"/>
              </w:rPr>
              <w:t xml:space="preserve">types of </w:t>
            </w:r>
            <w:proofErr w:type="gramStart"/>
            <w:r>
              <w:rPr>
                <w:rFonts w:ascii="Twinkl" w:hAnsi="Twinkl"/>
                <w:bCs/>
                <w:sz w:val="20"/>
                <w:szCs w:val="20"/>
              </w:rPr>
              <w:t>music</w:t>
            </w:r>
            <w:proofErr w:type="gramEnd"/>
            <w:r>
              <w:rPr>
                <w:rFonts w:ascii="Twinkl" w:hAnsi="Twinkl"/>
                <w:bCs/>
                <w:sz w:val="20"/>
                <w:szCs w:val="20"/>
              </w:rPr>
              <w:t xml:space="preserve"> </w:t>
            </w:r>
          </w:p>
          <w:p w:rsidRPr="00D25620" w:rsidR="00EA0C5A" w:rsidP="003C1B52" w:rsidRDefault="00EA0C5A" w14:paraId="2853D39A" w14:textId="078DB215">
            <w:pPr>
              <w:pStyle w:val="ListParagraph"/>
              <w:ind w:left="0"/>
              <w:rPr>
                <w:rFonts w:ascii="Twinkl" w:hAnsi="Twinkl"/>
                <w:bCs/>
                <w:color w:val="FF0000"/>
                <w:sz w:val="20"/>
                <w:szCs w:val="20"/>
              </w:rPr>
            </w:pPr>
            <w:r w:rsidRPr="00D25620">
              <w:rPr>
                <w:rFonts w:ascii="Twinkl" w:hAnsi="Twinkl"/>
                <w:bCs/>
                <w:color w:val="FF0000"/>
                <w:sz w:val="20"/>
                <w:szCs w:val="20"/>
              </w:rPr>
              <w:t xml:space="preserve">I can describe future </w:t>
            </w:r>
            <w:proofErr w:type="gramStart"/>
            <w:r w:rsidRPr="00D25620">
              <w:rPr>
                <w:rFonts w:ascii="Twinkl" w:hAnsi="Twinkl"/>
                <w:bCs/>
                <w:color w:val="FF0000"/>
                <w:sz w:val="20"/>
                <w:szCs w:val="20"/>
              </w:rPr>
              <w:t>plans</w:t>
            </w:r>
            <w:proofErr w:type="gramEnd"/>
            <w:r w:rsidRPr="00D25620">
              <w:rPr>
                <w:rFonts w:ascii="Twinkl" w:hAnsi="Twinkl"/>
                <w:bCs/>
                <w:color w:val="FF0000"/>
                <w:sz w:val="20"/>
                <w:szCs w:val="20"/>
              </w:rPr>
              <w:t xml:space="preserve"> </w:t>
            </w:r>
          </w:p>
          <w:p w:rsidR="00EA0C5A" w:rsidP="003C1B52" w:rsidRDefault="00E638CD" w14:paraId="200D1301" w14:textId="19FD5673">
            <w:pPr>
              <w:pStyle w:val="ListParagraph"/>
              <w:ind w:left="0"/>
              <w:rPr>
                <w:rFonts w:ascii="Twinkl" w:hAnsi="Twinkl"/>
                <w:bCs/>
                <w:sz w:val="20"/>
                <w:szCs w:val="20"/>
              </w:rPr>
            </w:pPr>
            <w:r>
              <w:rPr>
                <w:rFonts w:ascii="Twinkl" w:hAnsi="Twinkl"/>
                <w:bCs/>
                <w:sz w:val="20"/>
                <w:szCs w:val="20"/>
              </w:rPr>
              <w:t xml:space="preserve">I can talk about a past music </w:t>
            </w:r>
            <w:proofErr w:type="gramStart"/>
            <w:r>
              <w:rPr>
                <w:rFonts w:ascii="Twinkl" w:hAnsi="Twinkl"/>
                <w:bCs/>
                <w:sz w:val="20"/>
                <w:szCs w:val="20"/>
              </w:rPr>
              <w:t>concert</w:t>
            </w:r>
            <w:proofErr w:type="gramEnd"/>
          </w:p>
          <w:p w:rsidR="009E4D85" w:rsidP="003C1B52" w:rsidRDefault="00C85E50" w14:paraId="0B11FCBC" w14:textId="4FF3DAF0">
            <w:pPr>
              <w:pStyle w:val="ListParagraph"/>
              <w:ind w:left="0"/>
              <w:rPr>
                <w:rFonts w:ascii="Twinkl" w:hAnsi="Twinkl"/>
                <w:bCs/>
                <w:sz w:val="20"/>
                <w:szCs w:val="20"/>
              </w:rPr>
            </w:pPr>
            <w:r>
              <w:rPr>
                <w:rFonts w:ascii="Twinkl" w:hAnsi="Twinkl"/>
                <w:bCs/>
                <w:sz w:val="20"/>
                <w:szCs w:val="20"/>
              </w:rPr>
              <w:t xml:space="preserve">I can learn about a young </w:t>
            </w:r>
            <w:proofErr w:type="gramStart"/>
            <w:r>
              <w:rPr>
                <w:rFonts w:ascii="Twinkl" w:hAnsi="Twinkl"/>
                <w:bCs/>
                <w:sz w:val="20"/>
                <w:szCs w:val="20"/>
              </w:rPr>
              <w:t>musician</w:t>
            </w:r>
            <w:proofErr w:type="gramEnd"/>
            <w:r>
              <w:rPr>
                <w:rFonts w:ascii="Twinkl" w:hAnsi="Twinkl"/>
                <w:bCs/>
                <w:sz w:val="20"/>
                <w:szCs w:val="20"/>
              </w:rPr>
              <w:t xml:space="preserve"> </w:t>
            </w:r>
          </w:p>
          <w:p w:rsidRPr="001A2A1E" w:rsidR="00542F8D" w:rsidP="003C1B52" w:rsidRDefault="00542F8D" w14:paraId="76563C8F" w14:textId="77777777">
            <w:pPr>
              <w:pStyle w:val="ListParagraph"/>
              <w:ind w:left="0"/>
              <w:rPr>
                <w:rFonts w:ascii="Twinkl" w:hAnsi="Twinkl"/>
                <w:bCs/>
                <w:sz w:val="20"/>
                <w:szCs w:val="20"/>
              </w:rPr>
            </w:pPr>
          </w:p>
          <w:p w:rsidRPr="00D83AA3" w:rsidR="00542F8D" w:rsidP="00542F8D" w:rsidRDefault="00542F8D" w14:paraId="57D413A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grammar possibly covered in </w:t>
            </w:r>
            <w:r>
              <w:rPr>
                <w:rFonts w:ascii="Twinkl" w:hAnsi="Twinkl" w:eastAsia="Times New Roman" w:cstheme="minorHAnsi"/>
                <w:color w:val="000000" w:themeColor="text1"/>
                <w:sz w:val="20"/>
                <w:szCs w:val="20"/>
                <w:lang w:val="en-GB" w:eastAsia="en-GB"/>
              </w:rPr>
              <w:t>year 7, 8 or Autumn and Spring of year 9.</w:t>
            </w:r>
          </w:p>
          <w:p w:rsidRPr="00542F8D" w:rsidR="00BA02B9" w:rsidP="00252866" w:rsidRDefault="00BA02B9" w14:paraId="2DEC4842" w14:textId="25FD4BDE">
            <w:pPr>
              <w:shd w:val="clear" w:color="auto" w:fill="FFFFFF"/>
              <w:textAlignment w:val="baseline"/>
              <w:rPr>
                <w:rFonts w:ascii="Twinkl" w:hAnsi="Twinkl" w:eastAsia="Times New Roman" w:cstheme="minorHAnsi"/>
                <w:color w:val="000000" w:themeColor="text1"/>
                <w:sz w:val="20"/>
                <w:szCs w:val="20"/>
                <w:lang w:val="en-GB" w:eastAsia="en-GB"/>
              </w:rPr>
            </w:pPr>
          </w:p>
        </w:tc>
      </w:tr>
      <w:tr w:rsidRPr="00D83AA3" w:rsidR="00BA02B9" w:rsidTr="014E1EFF" w14:paraId="5048296D" w14:textId="77777777">
        <w:trPr>
          <w:trHeight w:val="300"/>
        </w:trPr>
        <w:tc>
          <w:tcPr>
            <w:tcW w:w="2100" w:type="dxa"/>
            <w:shd w:val="clear" w:color="auto" w:fill="D0CECE" w:themeFill="background2" w:themeFillShade="E6"/>
            <w:tcMar/>
            <w:vAlign w:val="center"/>
          </w:tcPr>
          <w:p w:rsidRPr="00D83AA3" w:rsidR="00BA02B9" w:rsidP="00BA45DC" w:rsidRDefault="00BA02B9" w14:paraId="1AC9017D" w14:textId="2A7B40F7">
            <w:pPr>
              <w:jc w:val="center"/>
              <w:rPr>
                <w:rFonts w:ascii="Twinkl" w:hAnsi="Twinkl"/>
                <w:b/>
              </w:rPr>
            </w:pPr>
            <w:r w:rsidRPr="00D83AA3">
              <w:rPr>
                <w:rFonts w:ascii="Twinkl" w:hAnsi="Twinkl"/>
                <w:b/>
              </w:rPr>
              <w:lastRenderedPageBreak/>
              <w:t>Learning Outcomes (</w:t>
            </w:r>
            <w:r w:rsidR="009B525C">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29290C" w:rsidR="00BA02B9" w:rsidTr="014E1EFF" w14:paraId="32F0C16B" w14:textId="77777777">
        <w:trPr>
          <w:trHeight w:val="300"/>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015B8898">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00542F8D">
              <w:rPr>
                <w:rFonts w:ascii="Twinkl" w:hAnsi="Twinkl" w:eastAsia="Times New Roman" w:cstheme="minorHAnsi"/>
                <w:color w:val="000000" w:themeColor="text1"/>
                <w:sz w:val="20"/>
                <w:szCs w:val="20"/>
                <w:lang w:val="en-GB" w:eastAsia="en-GB"/>
              </w:rPr>
              <w:t>year 7, 8 or Autumn and Spring of year 9.</w:t>
            </w:r>
          </w:p>
          <w:p w:rsidRPr="00E26666" w:rsidR="0061089D" w:rsidP="007833EE" w:rsidRDefault="00E26666" w14:paraId="6F5F4769"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sidRPr="00E26666">
              <w:rPr>
                <w:rFonts w:ascii="Twinkl" w:hAnsi="Twinkl" w:eastAsia="Times New Roman" w:cstheme="minorHAnsi"/>
                <w:sz w:val="20"/>
                <w:szCs w:val="20"/>
                <w:lang w:val="de-DE" w:eastAsia="en-GB"/>
              </w:rPr>
              <w:t xml:space="preserve">Understanding direct object pronouns </w:t>
            </w:r>
          </w:p>
          <w:p w:rsidR="00E26666" w:rsidP="007833EE" w:rsidRDefault="00E26666" w14:paraId="7D589C81"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Pr>
                <w:rFonts w:ascii="Twinkl" w:hAnsi="Twinkl" w:eastAsia="Times New Roman" w:cstheme="minorHAnsi"/>
                <w:color w:val="FF0000"/>
                <w:sz w:val="20"/>
                <w:szCs w:val="20"/>
                <w:lang w:val="de-DE" w:eastAsia="en-GB"/>
              </w:rPr>
              <w:t xml:space="preserve">Adjectival agreement </w:t>
            </w:r>
          </w:p>
          <w:p w:rsidR="00E26666" w:rsidP="007833EE" w:rsidRDefault="00E26666" w14:paraId="28ACBFC4"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Pr>
                <w:rFonts w:ascii="Twinkl" w:hAnsi="Twinkl" w:eastAsia="Times New Roman" w:cstheme="minorHAnsi"/>
                <w:color w:val="FF0000"/>
                <w:sz w:val="20"/>
                <w:szCs w:val="20"/>
                <w:lang w:val="de-DE" w:eastAsia="en-GB"/>
              </w:rPr>
              <w:t>Using the comparative</w:t>
            </w:r>
          </w:p>
          <w:p w:rsidR="00E26666" w:rsidP="007833EE" w:rsidRDefault="00274F78" w14:paraId="578BCCC3"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Pr>
                <w:rFonts w:ascii="Twinkl" w:hAnsi="Twinkl" w:eastAsia="Times New Roman" w:cstheme="minorHAnsi"/>
                <w:color w:val="FF0000"/>
                <w:sz w:val="20"/>
                <w:szCs w:val="20"/>
                <w:lang w:val="de-DE" w:eastAsia="en-GB"/>
              </w:rPr>
              <w:t xml:space="preserve">Using the present and near future together </w:t>
            </w:r>
          </w:p>
          <w:p w:rsidR="00274F78" w:rsidP="007833EE" w:rsidRDefault="00274F78" w14:paraId="7ACD0252"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Pr>
                <w:rFonts w:ascii="Twinkl" w:hAnsi="Twinkl" w:eastAsia="Times New Roman" w:cstheme="minorHAnsi"/>
                <w:color w:val="FF0000"/>
                <w:sz w:val="20"/>
                <w:szCs w:val="20"/>
                <w:lang w:val="de-DE" w:eastAsia="en-GB"/>
              </w:rPr>
              <w:t xml:space="preserve">Using the perfect tense </w:t>
            </w:r>
          </w:p>
          <w:p w:rsidRPr="00846213" w:rsidR="005317C5" w:rsidP="00846213" w:rsidRDefault="005317C5" w14:paraId="679DFC9B" w14:textId="11CF7CC5">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Pr>
                <w:rFonts w:ascii="Twinkl" w:hAnsi="Twinkl" w:eastAsia="Times New Roman" w:cstheme="minorHAnsi"/>
                <w:color w:val="FF0000"/>
                <w:sz w:val="20"/>
                <w:szCs w:val="20"/>
                <w:lang w:val="de-DE" w:eastAsia="en-GB"/>
              </w:rPr>
              <w:t xml:space="preserve">Using the present and perfect tenses together </w:t>
            </w:r>
          </w:p>
        </w:tc>
      </w:tr>
      <w:tr w:rsidRPr="00D83AA3" w:rsidR="00D85601" w:rsidTr="014E1EFF" w14:paraId="34B14AE7" w14:textId="77777777">
        <w:trPr>
          <w:trHeight w:val="300"/>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Pr="00846213" w:rsidR="0071084E" w:rsidP="00CB78B3" w:rsidRDefault="00CB78B3" w14:paraId="3E492716" w14:textId="77777777">
            <w:pPr>
              <w:pStyle w:val="ListParagraph"/>
              <w:numPr>
                <w:ilvl w:val="0"/>
                <w:numId w:val="32"/>
              </w:numPr>
              <w:shd w:val="clear" w:color="auto" w:fill="FFFFFF" w:themeFill="background1"/>
              <w:textAlignment w:val="baseline"/>
              <w:rPr>
                <w:rFonts w:ascii="Twinkl" w:hAnsi="Twinkl" w:eastAsia="Times New Roman"/>
                <w:color w:val="000000" w:themeColor="text1"/>
                <w:sz w:val="20"/>
                <w:szCs w:val="20"/>
                <w:lang w:val="en-GB" w:eastAsia="en-GB"/>
              </w:rPr>
            </w:pPr>
            <w:r w:rsidRPr="00CB78B3">
              <w:rPr>
                <w:rFonts w:ascii="Twinkl" w:hAnsi="Twinkl" w:eastAsia="Times New Roman"/>
                <w:sz w:val="20"/>
                <w:szCs w:val="20"/>
                <w:lang w:val="en-GB" w:eastAsia="en-GB"/>
              </w:rPr>
              <w:t>All grammar</w:t>
            </w:r>
            <w:r w:rsidR="00846213">
              <w:rPr>
                <w:rFonts w:ascii="Twinkl" w:hAnsi="Twinkl" w:eastAsia="Times New Roman"/>
                <w:sz w:val="20"/>
                <w:szCs w:val="20"/>
                <w:lang w:val="en-GB" w:eastAsia="en-GB"/>
              </w:rPr>
              <w:t xml:space="preserve"> to be revisited at </w:t>
            </w:r>
            <w:proofErr w:type="gramStart"/>
            <w:r w:rsidR="00846213">
              <w:rPr>
                <w:rFonts w:ascii="Twinkl" w:hAnsi="Twinkl" w:eastAsia="Times New Roman"/>
                <w:sz w:val="20"/>
                <w:szCs w:val="20"/>
                <w:lang w:val="en-GB" w:eastAsia="en-GB"/>
              </w:rPr>
              <w:t>GCSE</w:t>
            </w:r>
            <w:proofErr w:type="gramEnd"/>
            <w:r w:rsidR="00846213">
              <w:rPr>
                <w:rFonts w:ascii="Twinkl" w:hAnsi="Twinkl" w:eastAsia="Times New Roman"/>
                <w:sz w:val="20"/>
                <w:szCs w:val="20"/>
                <w:lang w:val="en-GB" w:eastAsia="en-GB"/>
              </w:rPr>
              <w:t xml:space="preserve"> </w:t>
            </w:r>
          </w:p>
          <w:p w:rsidRPr="00CB78B3" w:rsidR="00846213" w:rsidP="00CB78B3" w:rsidRDefault="00846213" w14:paraId="1E802251" w14:textId="374CA6D9">
            <w:pPr>
              <w:pStyle w:val="ListParagraph"/>
              <w:numPr>
                <w:ilvl w:val="0"/>
                <w:numId w:val="32"/>
              </w:numPr>
              <w:shd w:val="clear" w:color="auto" w:fill="FFFFFF" w:themeFill="background1"/>
              <w:textAlignment w:val="baseline"/>
              <w:rPr>
                <w:rFonts w:ascii="Twinkl" w:hAnsi="Twinkl" w:eastAsia="Times New Roman"/>
                <w:color w:val="000000" w:themeColor="text1"/>
                <w:sz w:val="20"/>
                <w:szCs w:val="20"/>
                <w:lang w:val="en-GB" w:eastAsia="en-GB"/>
              </w:rPr>
            </w:pPr>
            <w:r>
              <w:rPr>
                <w:rFonts w:ascii="Twinkl" w:hAnsi="Twinkl" w:eastAsia="Times New Roman"/>
                <w:color w:val="000000" w:themeColor="text1"/>
                <w:sz w:val="20"/>
                <w:szCs w:val="20"/>
                <w:lang w:val="en-GB" w:eastAsia="en-GB"/>
              </w:rPr>
              <w:t>All vocab to be revisited at GCSE</w:t>
            </w:r>
          </w:p>
        </w:tc>
      </w:tr>
      <w:tr w:rsidRPr="00D83AA3" w:rsidR="00BA02B9" w:rsidTr="014E1EFF" w14:paraId="3B89946A" w14:textId="77777777">
        <w:trPr>
          <w:trHeight w:val="300"/>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014E1EFF" w14:paraId="4E93B58C" w14:textId="77777777">
        <w:trPr>
          <w:trHeight w:val="300"/>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7453" w:rsidP="00C40517" w:rsidRDefault="00E77453" w14:paraId="1CE41906" w14:textId="77777777">
      <w:r>
        <w:separator/>
      </w:r>
    </w:p>
  </w:endnote>
  <w:endnote w:type="continuationSeparator" w:id="0">
    <w:p w:rsidR="00E77453" w:rsidP="00C40517" w:rsidRDefault="00E77453" w14:paraId="3421E91F" w14:textId="77777777">
      <w:r>
        <w:continuationSeparator/>
      </w:r>
    </w:p>
  </w:endnote>
  <w:endnote w:type="continuationNotice" w:id="1">
    <w:p w:rsidR="00E77453" w:rsidRDefault="00E77453" w14:paraId="56B4591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7453" w:rsidP="00C40517" w:rsidRDefault="00E77453" w14:paraId="6F3DE4B2" w14:textId="77777777">
      <w:r>
        <w:separator/>
      </w:r>
    </w:p>
  </w:footnote>
  <w:footnote w:type="continuationSeparator" w:id="0">
    <w:p w:rsidR="00E77453" w:rsidP="00C40517" w:rsidRDefault="00E77453" w14:paraId="7F342B9A" w14:textId="77777777">
      <w:r>
        <w:continuationSeparator/>
      </w:r>
    </w:p>
  </w:footnote>
  <w:footnote w:type="continuationNotice" w:id="1">
    <w:p w:rsidR="00E77453" w:rsidRDefault="00E77453" w14:paraId="49A138B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46E"/>
    <w:multiLevelType w:val="hybridMultilevel"/>
    <w:tmpl w:val="D0B68590"/>
    <w:lvl w:ilvl="0" w:tplc="84FAFD46">
      <w:start w:val="1"/>
      <w:numFmt w:val="bullet"/>
      <w:lvlText w:val="·"/>
      <w:lvlJc w:val="left"/>
      <w:pPr>
        <w:ind w:left="720" w:hanging="360"/>
      </w:pPr>
      <w:rPr>
        <w:rFonts w:hint="default" w:ascii="Symbol" w:hAnsi="Symbol"/>
      </w:rPr>
    </w:lvl>
    <w:lvl w:ilvl="1" w:tplc="F3B885C4">
      <w:start w:val="1"/>
      <w:numFmt w:val="bullet"/>
      <w:lvlText w:val="o"/>
      <w:lvlJc w:val="left"/>
      <w:pPr>
        <w:ind w:left="1440" w:hanging="360"/>
      </w:pPr>
      <w:rPr>
        <w:rFonts w:hint="default" w:ascii="Courier New" w:hAnsi="Courier New"/>
      </w:rPr>
    </w:lvl>
    <w:lvl w:ilvl="2" w:tplc="27E4D126">
      <w:start w:val="1"/>
      <w:numFmt w:val="bullet"/>
      <w:lvlText w:val=""/>
      <w:lvlJc w:val="left"/>
      <w:pPr>
        <w:ind w:left="2160" w:hanging="360"/>
      </w:pPr>
      <w:rPr>
        <w:rFonts w:hint="default" w:ascii="Wingdings" w:hAnsi="Wingdings"/>
      </w:rPr>
    </w:lvl>
    <w:lvl w:ilvl="3" w:tplc="3A8EC038">
      <w:start w:val="1"/>
      <w:numFmt w:val="bullet"/>
      <w:lvlText w:val=""/>
      <w:lvlJc w:val="left"/>
      <w:pPr>
        <w:ind w:left="2880" w:hanging="360"/>
      </w:pPr>
      <w:rPr>
        <w:rFonts w:hint="default" w:ascii="Symbol" w:hAnsi="Symbol"/>
      </w:rPr>
    </w:lvl>
    <w:lvl w:ilvl="4" w:tplc="C1B4887C">
      <w:start w:val="1"/>
      <w:numFmt w:val="bullet"/>
      <w:lvlText w:val="o"/>
      <w:lvlJc w:val="left"/>
      <w:pPr>
        <w:ind w:left="3600" w:hanging="360"/>
      </w:pPr>
      <w:rPr>
        <w:rFonts w:hint="default" w:ascii="Courier New" w:hAnsi="Courier New"/>
      </w:rPr>
    </w:lvl>
    <w:lvl w:ilvl="5" w:tplc="9596000A">
      <w:start w:val="1"/>
      <w:numFmt w:val="bullet"/>
      <w:lvlText w:val=""/>
      <w:lvlJc w:val="left"/>
      <w:pPr>
        <w:ind w:left="4320" w:hanging="360"/>
      </w:pPr>
      <w:rPr>
        <w:rFonts w:hint="default" w:ascii="Wingdings" w:hAnsi="Wingdings"/>
      </w:rPr>
    </w:lvl>
    <w:lvl w:ilvl="6" w:tplc="CAFCA5E0">
      <w:start w:val="1"/>
      <w:numFmt w:val="bullet"/>
      <w:lvlText w:val=""/>
      <w:lvlJc w:val="left"/>
      <w:pPr>
        <w:ind w:left="5040" w:hanging="360"/>
      </w:pPr>
      <w:rPr>
        <w:rFonts w:hint="default" w:ascii="Symbol" w:hAnsi="Symbol"/>
      </w:rPr>
    </w:lvl>
    <w:lvl w:ilvl="7" w:tplc="17487FE8">
      <w:start w:val="1"/>
      <w:numFmt w:val="bullet"/>
      <w:lvlText w:val="o"/>
      <w:lvlJc w:val="left"/>
      <w:pPr>
        <w:ind w:left="5760" w:hanging="360"/>
      </w:pPr>
      <w:rPr>
        <w:rFonts w:hint="default" w:ascii="Courier New" w:hAnsi="Courier New"/>
      </w:rPr>
    </w:lvl>
    <w:lvl w:ilvl="8" w:tplc="8D661422">
      <w:start w:val="1"/>
      <w:numFmt w:val="bullet"/>
      <w:lvlText w:val=""/>
      <w:lvlJc w:val="left"/>
      <w:pPr>
        <w:ind w:left="6480" w:hanging="360"/>
      </w:pPr>
      <w:rPr>
        <w:rFonts w:hint="default" w:ascii="Wingdings" w:hAnsi="Wingdings"/>
      </w:rPr>
    </w:lvl>
  </w:abstractNum>
  <w:abstractNum w:abstractNumId="1"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02943EE"/>
    <w:multiLevelType w:val="hybridMultilevel"/>
    <w:tmpl w:val="766C7258"/>
    <w:lvl w:ilvl="0" w:tplc="0FFCAEB6">
      <w:start w:val="1"/>
      <w:numFmt w:val="bullet"/>
      <w:lvlText w:val="·"/>
      <w:lvlJc w:val="left"/>
      <w:pPr>
        <w:ind w:left="720" w:hanging="360"/>
      </w:pPr>
      <w:rPr>
        <w:rFonts w:hint="default" w:ascii="Symbol" w:hAnsi="Symbol"/>
      </w:rPr>
    </w:lvl>
    <w:lvl w:ilvl="1" w:tplc="1C64A7EC">
      <w:start w:val="1"/>
      <w:numFmt w:val="bullet"/>
      <w:lvlText w:val="o"/>
      <w:lvlJc w:val="left"/>
      <w:pPr>
        <w:ind w:left="1440" w:hanging="360"/>
      </w:pPr>
      <w:rPr>
        <w:rFonts w:hint="default" w:ascii="Courier New" w:hAnsi="Courier New"/>
      </w:rPr>
    </w:lvl>
    <w:lvl w:ilvl="2" w:tplc="900460AA">
      <w:start w:val="1"/>
      <w:numFmt w:val="bullet"/>
      <w:lvlText w:val=""/>
      <w:lvlJc w:val="left"/>
      <w:pPr>
        <w:ind w:left="2160" w:hanging="360"/>
      </w:pPr>
      <w:rPr>
        <w:rFonts w:hint="default" w:ascii="Wingdings" w:hAnsi="Wingdings"/>
      </w:rPr>
    </w:lvl>
    <w:lvl w:ilvl="3" w:tplc="B2D2D58A">
      <w:start w:val="1"/>
      <w:numFmt w:val="bullet"/>
      <w:lvlText w:val=""/>
      <w:lvlJc w:val="left"/>
      <w:pPr>
        <w:ind w:left="2880" w:hanging="360"/>
      </w:pPr>
      <w:rPr>
        <w:rFonts w:hint="default" w:ascii="Symbol" w:hAnsi="Symbol"/>
      </w:rPr>
    </w:lvl>
    <w:lvl w:ilvl="4" w:tplc="85F0ECA0">
      <w:start w:val="1"/>
      <w:numFmt w:val="bullet"/>
      <w:lvlText w:val="o"/>
      <w:lvlJc w:val="left"/>
      <w:pPr>
        <w:ind w:left="3600" w:hanging="360"/>
      </w:pPr>
      <w:rPr>
        <w:rFonts w:hint="default" w:ascii="Courier New" w:hAnsi="Courier New"/>
      </w:rPr>
    </w:lvl>
    <w:lvl w:ilvl="5" w:tplc="3DC8A806">
      <w:start w:val="1"/>
      <w:numFmt w:val="bullet"/>
      <w:lvlText w:val=""/>
      <w:lvlJc w:val="left"/>
      <w:pPr>
        <w:ind w:left="4320" w:hanging="360"/>
      </w:pPr>
      <w:rPr>
        <w:rFonts w:hint="default" w:ascii="Wingdings" w:hAnsi="Wingdings"/>
      </w:rPr>
    </w:lvl>
    <w:lvl w:ilvl="6" w:tplc="858812A6">
      <w:start w:val="1"/>
      <w:numFmt w:val="bullet"/>
      <w:lvlText w:val=""/>
      <w:lvlJc w:val="left"/>
      <w:pPr>
        <w:ind w:left="5040" w:hanging="360"/>
      </w:pPr>
      <w:rPr>
        <w:rFonts w:hint="default" w:ascii="Symbol" w:hAnsi="Symbol"/>
      </w:rPr>
    </w:lvl>
    <w:lvl w:ilvl="7" w:tplc="A816E3F2">
      <w:start w:val="1"/>
      <w:numFmt w:val="bullet"/>
      <w:lvlText w:val="o"/>
      <w:lvlJc w:val="left"/>
      <w:pPr>
        <w:ind w:left="5760" w:hanging="360"/>
      </w:pPr>
      <w:rPr>
        <w:rFonts w:hint="default" w:ascii="Courier New" w:hAnsi="Courier New"/>
      </w:rPr>
    </w:lvl>
    <w:lvl w:ilvl="8" w:tplc="55C036F6">
      <w:start w:val="1"/>
      <w:numFmt w:val="bullet"/>
      <w:lvlText w:val=""/>
      <w:lvlJc w:val="left"/>
      <w:pPr>
        <w:ind w:left="6480" w:hanging="360"/>
      </w:pPr>
      <w:rPr>
        <w:rFonts w:hint="default" w:ascii="Wingdings" w:hAnsi="Wingdings"/>
      </w:rPr>
    </w:lvl>
  </w:abstractNum>
  <w:abstractNum w:abstractNumId="2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26690481">
    <w:abstractNumId w:val="5"/>
  </w:num>
  <w:num w:numId="2" w16cid:durableId="463281481">
    <w:abstractNumId w:val="3"/>
  </w:num>
  <w:num w:numId="3" w16cid:durableId="1381977543">
    <w:abstractNumId w:val="30"/>
  </w:num>
  <w:num w:numId="4" w16cid:durableId="6953163">
    <w:abstractNumId w:val="35"/>
  </w:num>
  <w:num w:numId="5" w16cid:durableId="2018263358">
    <w:abstractNumId w:val="12"/>
  </w:num>
  <w:num w:numId="6" w16cid:durableId="1962419210">
    <w:abstractNumId w:val="17"/>
  </w:num>
  <w:num w:numId="7" w16cid:durableId="1914508780">
    <w:abstractNumId w:val="29"/>
  </w:num>
  <w:num w:numId="8" w16cid:durableId="2025663128">
    <w:abstractNumId w:val="15"/>
  </w:num>
  <w:num w:numId="9" w16cid:durableId="903956805">
    <w:abstractNumId w:val="23"/>
  </w:num>
  <w:num w:numId="10" w16cid:durableId="1685014843">
    <w:abstractNumId w:val="1"/>
  </w:num>
  <w:num w:numId="11" w16cid:durableId="1482428086">
    <w:abstractNumId w:val="34"/>
  </w:num>
  <w:num w:numId="12" w16cid:durableId="874005895">
    <w:abstractNumId w:val="13"/>
  </w:num>
  <w:num w:numId="13" w16cid:durableId="2107656368">
    <w:abstractNumId w:val="31"/>
  </w:num>
  <w:num w:numId="14" w16cid:durableId="1734884914">
    <w:abstractNumId w:val="8"/>
  </w:num>
  <w:num w:numId="15" w16cid:durableId="173425057">
    <w:abstractNumId w:val="32"/>
  </w:num>
  <w:num w:numId="16" w16cid:durableId="829099234">
    <w:abstractNumId w:val="19"/>
  </w:num>
  <w:num w:numId="17" w16cid:durableId="70397336">
    <w:abstractNumId w:val="11"/>
  </w:num>
  <w:num w:numId="18" w16cid:durableId="14580994">
    <w:abstractNumId w:val="21"/>
  </w:num>
  <w:num w:numId="19" w16cid:durableId="1070731544">
    <w:abstractNumId w:val="33"/>
  </w:num>
  <w:num w:numId="20" w16cid:durableId="1573200766">
    <w:abstractNumId w:val="2"/>
  </w:num>
  <w:num w:numId="21" w16cid:durableId="685979549">
    <w:abstractNumId w:val="10"/>
  </w:num>
  <w:num w:numId="22" w16cid:durableId="1966735996">
    <w:abstractNumId w:val="16"/>
  </w:num>
  <w:num w:numId="23" w16cid:durableId="1793790376">
    <w:abstractNumId w:val="24"/>
  </w:num>
  <w:num w:numId="24" w16cid:durableId="2075423964">
    <w:abstractNumId w:val="22"/>
  </w:num>
  <w:num w:numId="25" w16cid:durableId="1266235638">
    <w:abstractNumId w:val="4"/>
  </w:num>
  <w:num w:numId="26" w16cid:durableId="526725003">
    <w:abstractNumId w:val="26"/>
  </w:num>
  <w:num w:numId="27" w16cid:durableId="1487628432">
    <w:abstractNumId w:val="18"/>
  </w:num>
  <w:num w:numId="28" w16cid:durableId="1870411855">
    <w:abstractNumId w:val="27"/>
  </w:num>
  <w:num w:numId="29" w16cid:durableId="666909650">
    <w:abstractNumId w:val="7"/>
  </w:num>
  <w:num w:numId="30" w16cid:durableId="1921670652">
    <w:abstractNumId w:val="6"/>
  </w:num>
  <w:num w:numId="31" w16cid:durableId="151020449">
    <w:abstractNumId w:val="25"/>
  </w:num>
  <w:num w:numId="32" w16cid:durableId="1146557111">
    <w:abstractNumId w:val="14"/>
  </w:num>
  <w:num w:numId="33" w16cid:durableId="1813786250">
    <w:abstractNumId w:val="9"/>
  </w:num>
  <w:num w:numId="34" w16cid:durableId="1904682027">
    <w:abstractNumId w:val="20"/>
  </w:num>
  <w:num w:numId="35" w16cid:durableId="1411266674">
    <w:abstractNumId w:val="0"/>
  </w:num>
  <w:num w:numId="36" w16cid:durableId="417214722">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3385"/>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C709E"/>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D1F3B"/>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2866"/>
    <w:rsid w:val="00254293"/>
    <w:rsid w:val="00254CD3"/>
    <w:rsid w:val="00257FFC"/>
    <w:rsid w:val="002623D2"/>
    <w:rsid w:val="00272A82"/>
    <w:rsid w:val="00274F78"/>
    <w:rsid w:val="00277F06"/>
    <w:rsid w:val="002818A9"/>
    <w:rsid w:val="00284673"/>
    <w:rsid w:val="00285D33"/>
    <w:rsid w:val="002914EE"/>
    <w:rsid w:val="0029290C"/>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198B"/>
    <w:rsid w:val="00387EAA"/>
    <w:rsid w:val="003A43AE"/>
    <w:rsid w:val="003A6607"/>
    <w:rsid w:val="003B2598"/>
    <w:rsid w:val="003B2F64"/>
    <w:rsid w:val="003B4C75"/>
    <w:rsid w:val="003B4EB6"/>
    <w:rsid w:val="003C1B52"/>
    <w:rsid w:val="003C1B98"/>
    <w:rsid w:val="003C3EC5"/>
    <w:rsid w:val="003C7CA1"/>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17C5"/>
    <w:rsid w:val="00535341"/>
    <w:rsid w:val="005358FA"/>
    <w:rsid w:val="00542312"/>
    <w:rsid w:val="00542F8D"/>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1089D"/>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16F3"/>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833EE"/>
    <w:rsid w:val="00792180"/>
    <w:rsid w:val="007951C7"/>
    <w:rsid w:val="007B4DAC"/>
    <w:rsid w:val="007B5C99"/>
    <w:rsid w:val="007B5E26"/>
    <w:rsid w:val="007B6BC5"/>
    <w:rsid w:val="007C10DD"/>
    <w:rsid w:val="007C1A6F"/>
    <w:rsid w:val="007C5049"/>
    <w:rsid w:val="007C72A1"/>
    <w:rsid w:val="007D1C6B"/>
    <w:rsid w:val="007D2906"/>
    <w:rsid w:val="007D6C98"/>
    <w:rsid w:val="007F5666"/>
    <w:rsid w:val="007F7E04"/>
    <w:rsid w:val="00806018"/>
    <w:rsid w:val="0081017F"/>
    <w:rsid w:val="008201F2"/>
    <w:rsid w:val="0082136A"/>
    <w:rsid w:val="00825FFB"/>
    <w:rsid w:val="00841168"/>
    <w:rsid w:val="00846213"/>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D0EF9"/>
    <w:rsid w:val="008D68B9"/>
    <w:rsid w:val="008E1576"/>
    <w:rsid w:val="008E3198"/>
    <w:rsid w:val="008E33D9"/>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525C"/>
    <w:rsid w:val="009B7A0D"/>
    <w:rsid w:val="009B7EBC"/>
    <w:rsid w:val="009C1306"/>
    <w:rsid w:val="009D222F"/>
    <w:rsid w:val="009D53DD"/>
    <w:rsid w:val="009D699D"/>
    <w:rsid w:val="009D6E8C"/>
    <w:rsid w:val="009D70D7"/>
    <w:rsid w:val="009E033C"/>
    <w:rsid w:val="009E268C"/>
    <w:rsid w:val="009E4D85"/>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504C1"/>
    <w:rsid w:val="00A5068B"/>
    <w:rsid w:val="00A567D9"/>
    <w:rsid w:val="00A60463"/>
    <w:rsid w:val="00A71408"/>
    <w:rsid w:val="00A730FB"/>
    <w:rsid w:val="00A80325"/>
    <w:rsid w:val="00A8069A"/>
    <w:rsid w:val="00A84A62"/>
    <w:rsid w:val="00A863D0"/>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EF7"/>
    <w:rsid w:val="00B0104B"/>
    <w:rsid w:val="00B0259C"/>
    <w:rsid w:val="00B03FEB"/>
    <w:rsid w:val="00B06B0E"/>
    <w:rsid w:val="00B06D8C"/>
    <w:rsid w:val="00B10589"/>
    <w:rsid w:val="00B142E2"/>
    <w:rsid w:val="00B20AA9"/>
    <w:rsid w:val="00B20E06"/>
    <w:rsid w:val="00B256BF"/>
    <w:rsid w:val="00B34CF1"/>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0835"/>
    <w:rsid w:val="00B921F7"/>
    <w:rsid w:val="00B925AC"/>
    <w:rsid w:val="00BA02B9"/>
    <w:rsid w:val="00BA2225"/>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2374"/>
    <w:rsid w:val="00C275F9"/>
    <w:rsid w:val="00C27E28"/>
    <w:rsid w:val="00C31356"/>
    <w:rsid w:val="00C40517"/>
    <w:rsid w:val="00C40B56"/>
    <w:rsid w:val="00C40F11"/>
    <w:rsid w:val="00C4251D"/>
    <w:rsid w:val="00C44E5D"/>
    <w:rsid w:val="00C52B40"/>
    <w:rsid w:val="00C5690C"/>
    <w:rsid w:val="00C6485D"/>
    <w:rsid w:val="00C768E1"/>
    <w:rsid w:val="00C83E32"/>
    <w:rsid w:val="00C85E50"/>
    <w:rsid w:val="00C910DC"/>
    <w:rsid w:val="00C923D5"/>
    <w:rsid w:val="00C94C13"/>
    <w:rsid w:val="00C9520A"/>
    <w:rsid w:val="00C95E87"/>
    <w:rsid w:val="00C9716E"/>
    <w:rsid w:val="00CA3E93"/>
    <w:rsid w:val="00CA5B53"/>
    <w:rsid w:val="00CB19D9"/>
    <w:rsid w:val="00CB3DD7"/>
    <w:rsid w:val="00CB67B4"/>
    <w:rsid w:val="00CB78B3"/>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247F4"/>
    <w:rsid w:val="00D25620"/>
    <w:rsid w:val="00D27523"/>
    <w:rsid w:val="00D3004F"/>
    <w:rsid w:val="00D301E4"/>
    <w:rsid w:val="00D33B5B"/>
    <w:rsid w:val="00D34581"/>
    <w:rsid w:val="00D3543A"/>
    <w:rsid w:val="00D42A4E"/>
    <w:rsid w:val="00D4639E"/>
    <w:rsid w:val="00D5107D"/>
    <w:rsid w:val="00D5126E"/>
    <w:rsid w:val="00D61612"/>
    <w:rsid w:val="00D63445"/>
    <w:rsid w:val="00D701C1"/>
    <w:rsid w:val="00D716A8"/>
    <w:rsid w:val="00D74E4F"/>
    <w:rsid w:val="00D77D22"/>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E39"/>
    <w:rsid w:val="00DF710E"/>
    <w:rsid w:val="00E0315D"/>
    <w:rsid w:val="00E06D12"/>
    <w:rsid w:val="00E07B86"/>
    <w:rsid w:val="00E07E32"/>
    <w:rsid w:val="00E16B04"/>
    <w:rsid w:val="00E174D5"/>
    <w:rsid w:val="00E26666"/>
    <w:rsid w:val="00E2718B"/>
    <w:rsid w:val="00E31AE0"/>
    <w:rsid w:val="00E336A1"/>
    <w:rsid w:val="00E348B0"/>
    <w:rsid w:val="00E3511C"/>
    <w:rsid w:val="00E4553F"/>
    <w:rsid w:val="00E529B6"/>
    <w:rsid w:val="00E638CD"/>
    <w:rsid w:val="00E641FC"/>
    <w:rsid w:val="00E73014"/>
    <w:rsid w:val="00E741AE"/>
    <w:rsid w:val="00E75432"/>
    <w:rsid w:val="00E77453"/>
    <w:rsid w:val="00E81B9F"/>
    <w:rsid w:val="00E92ABE"/>
    <w:rsid w:val="00E93254"/>
    <w:rsid w:val="00E939BF"/>
    <w:rsid w:val="00E940EC"/>
    <w:rsid w:val="00E97FBC"/>
    <w:rsid w:val="00EA07BB"/>
    <w:rsid w:val="00EA0C5A"/>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45A34"/>
    <w:rsid w:val="00F52745"/>
    <w:rsid w:val="00F55B3C"/>
    <w:rsid w:val="00F70AE7"/>
    <w:rsid w:val="00F72BA4"/>
    <w:rsid w:val="00F73817"/>
    <w:rsid w:val="00F7440C"/>
    <w:rsid w:val="00F80E3F"/>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014E1EFF"/>
    <w:rsid w:val="695A6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0C681BBD-5345-4BBA-B324-4F14293AD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27</revision>
  <lastPrinted>2022-01-21T12:23:00.0000000Z</lastPrinted>
  <dcterms:created xsi:type="dcterms:W3CDTF">2022-01-21T12:24:00.0000000Z</dcterms:created>
  <dcterms:modified xsi:type="dcterms:W3CDTF">2025-06-27T13:20:50.2257667Z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