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0390F112" w14:paraId="491C8FA4" w14:textId="1828FA99">
        <w:trPr>
          <w:trHeight w:val="231"/>
        </w:trPr>
        <w:tc>
          <w:tcPr>
            <w:tcW w:w="11052" w:type="dxa"/>
            <w:gridSpan w:val="3"/>
            <w:tcMar/>
            <w:vAlign w:val="center"/>
          </w:tcPr>
          <w:p w:rsidRPr="00D83AA3" w:rsidR="00E741AE" w:rsidP="00BA45DC" w:rsidRDefault="00F72BA4" w14:paraId="4E3A8083" w14:textId="262D6F6F">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293A85">
              <w:rPr>
                <w:rFonts w:ascii="Twinkl" w:hAnsi="Twinkl"/>
                <w:b/>
                <w:sz w:val="36"/>
                <w:szCs w:val="40"/>
              </w:rPr>
              <w:t>8</w:t>
            </w:r>
            <w:r w:rsidRPr="00D83AA3" w:rsidR="006D13B2">
              <w:rPr>
                <w:rFonts w:ascii="Twinkl" w:hAnsi="Twinkl"/>
                <w:b/>
                <w:sz w:val="36"/>
                <w:szCs w:val="40"/>
              </w:rPr>
              <w:t xml:space="preserve"> </w:t>
            </w:r>
            <w:r w:rsidRPr="00D83AA3" w:rsidR="00F73817">
              <w:rPr>
                <w:rFonts w:ascii="Twinkl" w:hAnsi="Twinkl"/>
                <w:b/>
                <w:sz w:val="36"/>
                <w:szCs w:val="40"/>
              </w:rPr>
              <w:t>FRENCH</w:t>
            </w:r>
            <w:r w:rsidRPr="00D83AA3" w:rsidR="00175C24">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proofErr w:type="gramStart"/>
            <w:r w:rsidRPr="00D83AA3">
              <w:rPr>
                <w:rFonts w:ascii="Twinkl" w:hAnsi="Twinkl"/>
                <w:b/>
                <w:sz w:val="22"/>
                <w:szCs w:val="22"/>
              </w:rPr>
              <w:t>all</w:t>
            </w:r>
            <w:proofErr w:type="gramEnd"/>
            <w:r w:rsidRPr="00D83AA3">
              <w:rPr>
                <w:rFonts w:ascii="Twinkl" w:hAnsi="Twinkl"/>
                <w:b/>
                <w:sz w:val="22"/>
                <w:szCs w:val="22"/>
              </w:rPr>
              <w:t>’</w:t>
            </w:r>
          </w:p>
          <w:p w:rsidRPr="00D83AA3" w:rsidR="006B672F" w:rsidP="00AB18B5" w:rsidRDefault="006B672F" w14:paraId="77227CDF" w14:textId="4BB41A59">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3F24AE">
              <w:rPr>
                <w:rFonts w:ascii="Twinkl" w:hAnsi="Twinkl"/>
                <w:b/>
                <w:sz w:val="32"/>
                <w:szCs w:val="32"/>
              </w:rPr>
              <w:t xml:space="preserve">Festivals (cont.) and </w:t>
            </w:r>
            <w:r w:rsidR="00A40311">
              <w:rPr>
                <w:rFonts w:ascii="Twinkl" w:hAnsi="Twinkl"/>
                <w:b/>
                <w:sz w:val="32"/>
                <w:szCs w:val="32"/>
              </w:rPr>
              <w:t>leisure (technology)</w:t>
            </w:r>
          </w:p>
        </w:tc>
      </w:tr>
      <w:tr w:rsidRPr="00D83AA3" w:rsidR="00C136E5" w:rsidTr="0390F112" w14:paraId="6E82A71D" w14:textId="77777777">
        <w:trPr>
          <w:trHeight w:val="297"/>
        </w:trPr>
        <w:tc>
          <w:tcPr>
            <w:tcW w:w="2100" w:type="dxa"/>
            <w:shd w:val="clear" w:color="auto" w:fill="000000" w:themeFill="text1"/>
            <w:tcMar/>
            <w:vAlign w:val="center"/>
          </w:tcPr>
          <w:p w:rsidRPr="00D83AA3" w:rsidR="00C136E5" w:rsidP="00C136E5" w:rsidRDefault="00C136E5"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B17A4A" w:rsidR="00C136E5" w:rsidP="00C136E5" w:rsidRDefault="00C136E5" w14:paraId="3BE41ED4"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C136E5" w:rsidP="00C136E5" w:rsidRDefault="00C136E5" w14:paraId="397F7652"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C136E5" w:rsidP="00C136E5" w:rsidRDefault="00C136E5" w14:paraId="69EAF051"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 xml:space="preserve">To begin to listen for subtleties of speech and imitate </w:t>
            </w:r>
            <w:proofErr w:type="gramStart"/>
            <w:r w:rsidRPr="00B17A4A">
              <w:rPr>
                <w:rFonts w:cstheme="minorHAnsi"/>
                <w:sz w:val="20"/>
                <w:szCs w:val="20"/>
              </w:rPr>
              <w:t>them</w:t>
            </w:r>
            <w:proofErr w:type="gramEnd"/>
          </w:p>
          <w:p w:rsidRPr="00B17A4A" w:rsidR="00C136E5" w:rsidP="00C136E5" w:rsidRDefault="00C136E5" w14:paraId="75124D08"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 xml:space="preserve">Skills they need to use when listening to </w:t>
            </w:r>
            <w:proofErr w:type="gramStart"/>
            <w:r w:rsidRPr="00B17A4A">
              <w:rPr>
                <w:rFonts w:cstheme="minorHAnsi"/>
                <w:sz w:val="20"/>
                <w:szCs w:val="20"/>
              </w:rPr>
              <w:t>media</w:t>
            </w:r>
            <w:proofErr w:type="gramEnd"/>
          </w:p>
          <w:p w:rsidRPr="00B17A4A" w:rsidR="00C136E5" w:rsidP="00C136E5" w:rsidRDefault="00C136E5" w14:paraId="5A22248A"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C136E5" w:rsidP="00C136E5" w:rsidRDefault="00C136E5" w14:paraId="6AE0AD0E"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C136E5" w:rsidP="00C136E5" w:rsidRDefault="00C136E5" w14:paraId="485BD3A4"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C136E5" w:rsidP="00C136E5" w:rsidRDefault="00C136E5" w14:paraId="05D3279A" w14:textId="77777777">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C136E5" w:rsidR="00C136E5" w:rsidP="00C136E5" w:rsidRDefault="00C136E5" w14:paraId="0D7C8F46" w14:textId="7201AA86">
            <w:pPr>
              <w:pStyle w:val="ListParagraph"/>
              <w:numPr>
                <w:ilvl w:val="0"/>
                <w:numId w:val="2"/>
              </w:numPr>
              <w:autoSpaceDE w:val="0"/>
              <w:autoSpaceDN w:val="0"/>
              <w:adjustRightInd w:val="0"/>
              <w:rPr>
                <w:b/>
                <w:sz w:val="20"/>
                <w:szCs w:val="20"/>
              </w:rPr>
            </w:pPr>
            <w:r w:rsidRPr="00B17A4A">
              <w:rPr>
                <w:rFonts w:cstheme="minorHAnsi"/>
                <w:sz w:val="20"/>
                <w:szCs w:val="20"/>
              </w:rPr>
              <w:t xml:space="preserve">How to </w:t>
            </w:r>
            <w:proofErr w:type="spellStart"/>
            <w:r w:rsidRPr="00B17A4A">
              <w:rPr>
                <w:rFonts w:cstheme="minorHAnsi"/>
                <w:sz w:val="20"/>
                <w:szCs w:val="20"/>
              </w:rPr>
              <w:t>recognise</w:t>
            </w:r>
            <w:proofErr w:type="spellEnd"/>
            <w:r w:rsidRPr="00B17A4A">
              <w:rPr>
                <w:rFonts w:cstheme="minorHAnsi"/>
                <w:sz w:val="20"/>
                <w:szCs w:val="20"/>
              </w:rPr>
              <w:t xml:space="preserve"> and add expression in speech</w:t>
            </w:r>
          </w:p>
        </w:tc>
        <w:tc>
          <w:tcPr>
            <w:tcW w:w="5141" w:type="dxa"/>
            <w:vMerge w:val="restart"/>
            <w:tcMar/>
          </w:tcPr>
          <w:p w:rsidRPr="00B17A4A" w:rsidR="00C136E5" w:rsidP="00C136E5" w:rsidRDefault="00C136E5" w14:paraId="7FC16D98" w14:textId="77777777">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C136E5" w:rsidP="00C136E5" w:rsidRDefault="00C136E5" w14:paraId="3A966584"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C136E5" w:rsidP="00C136E5" w:rsidRDefault="00C136E5" w14:paraId="36C15830"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That words and phrases can have different meanings in different </w:t>
            </w:r>
            <w:proofErr w:type="gramStart"/>
            <w:r w:rsidRPr="00B17A4A">
              <w:rPr>
                <w:rFonts w:cstheme="minorHAnsi"/>
                <w:sz w:val="20"/>
                <w:szCs w:val="20"/>
              </w:rPr>
              <w:t>contexts</w:t>
            </w:r>
            <w:proofErr w:type="gramEnd"/>
          </w:p>
          <w:p w:rsidRPr="00B17A4A" w:rsidR="00C136E5" w:rsidP="00C136E5" w:rsidRDefault="00C136E5" w14:paraId="3260FE1C"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w:t>
            </w:r>
            <w:proofErr w:type="spellStart"/>
            <w:r w:rsidRPr="00B17A4A">
              <w:rPr>
                <w:rFonts w:cstheme="minorHAnsi"/>
                <w:sz w:val="20"/>
                <w:szCs w:val="20"/>
              </w:rPr>
              <w:t>recognise</w:t>
            </w:r>
            <w:proofErr w:type="spellEnd"/>
            <w:r w:rsidRPr="00B17A4A">
              <w:rPr>
                <w:rFonts w:cstheme="minorHAnsi"/>
                <w:sz w:val="20"/>
                <w:szCs w:val="20"/>
              </w:rPr>
              <w:t xml:space="preserve"> simple features which add authenticity, expression or emphasis to a written </w:t>
            </w:r>
            <w:proofErr w:type="gramStart"/>
            <w:r w:rsidRPr="00B17A4A">
              <w:rPr>
                <w:rFonts w:cstheme="minorHAnsi"/>
                <w:sz w:val="20"/>
                <w:szCs w:val="20"/>
              </w:rPr>
              <w:t>text</w:t>
            </w:r>
            <w:proofErr w:type="gramEnd"/>
          </w:p>
          <w:p w:rsidRPr="00B17A4A" w:rsidR="00C136E5" w:rsidP="00C136E5" w:rsidRDefault="00C136E5" w14:paraId="4E013563"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begin to associate aspects of language with different text </w:t>
            </w:r>
            <w:proofErr w:type="gramStart"/>
            <w:r w:rsidRPr="00B17A4A">
              <w:rPr>
                <w:rFonts w:cstheme="minorHAnsi"/>
                <w:sz w:val="20"/>
                <w:szCs w:val="20"/>
              </w:rPr>
              <w:t>types</w:t>
            </w:r>
            <w:proofErr w:type="gramEnd"/>
          </w:p>
          <w:p w:rsidRPr="00B17A4A" w:rsidR="00C136E5" w:rsidP="00C136E5" w:rsidRDefault="00C136E5" w14:paraId="1F6A002B"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C136E5" w:rsidP="00C136E5" w:rsidRDefault="00C136E5" w14:paraId="409525FF"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C136E5" w:rsidP="00C136E5" w:rsidRDefault="00C136E5" w14:paraId="34DF8034"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How to use a given text as a source of information, </w:t>
            </w:r>
            <w:proofErr w:type="gramStart"/>
            <w:r w:rsidRPr="00B17A4A">
              <w:rPr>
                <w:rFonts w:cstheme="minorHAnsi"/>
                <w:sz w:val="20"/>
                <w:szCs w:val="20"/>
              </w:rPr>
              <w:t>language</w:t>
            </w:r>
            <w:proofErr w:type="gramEnd"/>
            <w:r w:rsidRPr="00B17A4A">
              <w:rPr>
                <w:rFonts w:cstheme="minorHAnsi"/>
                <w:sz w:val="20"/>
                <w:szCs w:val="20"/>
              </w:rPr>
              <w:t xml:space="preserve"> and a stimulus for their own writing</w:t>
            </w:r>
          </w:p>
          <w:p w:rsidRPr="00B17A4A" w:rsidR="00C136E5" w:rsidP="00C136E5" w:rsidRDefault="00C136E5" w14:paraId="7D461930" w14:textId="77777777">
            <w:pPr>
              <w:pStyle w:val="ListParagraph"/>
              <w:numPr>
                <w:ilvl w:val="0"/>
                <w:numId w:val="3"/>
              </w:numPr>
              <w:autoSpaceDE w:val="0"/>
              <w:autoSpaceDN w:val="0"/>
              <w:adjustRightInd w:val="0"/>
              <w:rPr>
                <w:rFonts w:cstheme="minorHAnsi"/>
                <w:sz w:val="20"/>
                <w:szCs w:val="20"/>
              </w:rPr>
            </w:pPr>
            <w:r w:rsidRPr="00B17A4A">
              <w:rPr>
                <w:sz w:val="20"/>
                <w:szCs w:val="20"/>
              </w:rPr>
              <w:t xml:space="preserve">How to write creatively to express their own ideas and opinions, and translate short written text accurately into the foreign </w:t>
            </w:r>
            <w:proofErr w:type="gramStart"/>
            <w:r w:rsidRPr="00B17A4A">
              <w:rPr>
                <w:sz w:val="20"/>
                <w:szCs w:val="20"/>
              </w:rPr>
              <w:t>language</w:t>
            </w:r>
            <w:proofErr w:type="gramEnd"/>
          </w:p>
          <w:p w:rsidRPr="00D83AA3" w:rsidR="00C136E5" w:rsidP="00C136E5" w:rsidRDefault="00C136E5" w14:paraId="489746C4" w14:textId="05413F87">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B17A4A">
              <w:rPr>
                <w:rFonts w:cstheme="minorHAnsi"/>
                <w:sz w:val="20"/>
                <w:szCs w:val="20"/>
              </w:rPr>
              <w:t xml:space="preserve">How to </w:t>
            </w:r>
            <w:r w:rsidRPr="00B17A4A">
              <w:rPr>
                <w:sz w:val="20"/>
                <w:szCs w:val="20"/>
              </w:rPr>
              <w:t xml:space="preserve">read and show comprehension of original and adapted materials from a range of different sources, understanding the purpose, important </w:t>
            </w:r>
            <w:proofErr w:type="gramStart"/>
            <w:r w:rsidRPr="00B17A4A">
              <w:rPr>
                <w:sz w:val="20"/>
                <w:szCs w:val="20"/>
              </w:rPr>
              <w:t>ideas</w:t>
            </w:r>
            <w:proofErr w:type="gramEnd"/>
            <w:r w:rsidRPr="00B17A4A">
              <w:rPr>
                <w:sz w:val="20"/>
                <w:szCs w:val="20"/>
              </w:rPr>
              <w:t xml:space="preserve"> and details, and provide an accurate English translation of short, suitable material</w:t>
            </w:r>
          </w:p>
        </w:tc>
      </w:tr>
      <w:tr w:rsidRPr="00D83AA3" w:rsidR="00BA02B9" w:rsidTr="0390F112"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0390F112"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A457A1" w:rsidP="00A457A1" w:rsidRDefault="00A457A1" w14:paraId="648D2CEE" w14:textId="77777777">
            <w:pPr>
              <w:autoSpaceDE w:val="0"/>
              <w:autoSpaceDN w:val="0"/>
              <w:adjustRightInd w:val="0"/>
              <w:rPr>
                <w:rFonts w:ascii="Twinkl" w:hAnsi="Twinkl" w:cs="Calibri"/>
                <w:sz w:val="21"/>
                <w:szCs w:val="21"/>
                <w:lang w:val="en-GB"/>
              </w:rPr>
            </w:pPr>
            <w:r w:rsidRPr="0390F112" w:rsidR="00A457A1">
              <w:rPr>
                <w:rFonts w:ascii="Twinkl" w:hAnsi="Twinkl"/>
                <w:b w:val="1"/>
                <w:bCs w:val="1"/>
                <w:sz w:val="20"/>
                <w:szCs w:val="20"/>
              </w:rPr>
              <w:t xml:space="preserve">SMSC: </w:t>
            </w:r>
            <w:r w:rsidRPr="0390F112" w:rsidR="00A457A1">
              <w:rPr>
                <w:rFonts w:ascii="Twinkl" w:hAnsi="Twinkl" w:cs="Calibri"/>
                <w:sz w:val="20"/>
                <w:szCs w:val="20"/>
                <w:lang w:val="en-GB"/>
              </w:rPr>
              <w:t>Learning how to express yourself and respect other people’s views/ culture.</w:t>
            </w:r>
          </w:p>
          <w:p w:rsidR="09C9F210" w:rsidP="0390F112" w:rsidRDefault="09C9F210" w14:paraId="1DECB425" w14:textId="6A9009E9">
            <w:pPr>
              <w:rPr>
                <w:rFonts w:ascii="Twinkl" w:hAnsi="Twinkl" w:cs="Calibri"/>
                <w:sz w:val="20"/>
                <w:szCs w:val="20"/>
                <w:lang w:val="en-GB"/>
              </w:rPr>
            </w:pPr>
            <w:r w:rsidRPr="0390F112" w:rsidR="09C9F210">
              <w:rPr>
                <w:rFonts w:ascii="Twinkl" w:hAnsi="Twinkl" w:cs="Calibri"/>
                <w:sz w:val="20"/>
                <w:szCs w:val="20"/>
                <w:lang w:val="en-GB"/>
              </w:rPr>
              <w:t>3. Week 18 – WB 19 January (Spring 1)</w:t>
            </w:r>
          </w:p>
          <w:p w:rsidR="09C9F210" w:rsidP="0390F112" w:rsidRDefault="09C9F210" w14:paraId="32CD9ED7" w14:textId="47786C68">
            <w:pPr>
              <w:pStyle w:val="Normal"/>
            </w:pPr>
            <w:r w:rsidRPr="0390F112" w:rsidR="09C9F210">
              <w:rPr>
                <w:rFonts w:ascii="Twinkl" w:hAnsi="Twinkl" w:cs="Calibri"/>
                <w:sz w:val="20"/>
                <w:szCs w:val="20"/>
                <w:lang w:val="en-GB"/>
              </w:rPr>
              <w:t>Lesson 5 &amp; 6: Writing about New Year's resolutions and learning about Fête des Rois (Epiphany, page 43).</w:t>
            </w:r>
          </w:p>
          <w:p w:rsidR="09C9F210" w:rsidP="0390F112" w:rsidRDefault="09C9F210" w14:paraId="0D149658" w14:textId="36346BBD">
            <w:pPr>
              <w:pStyle w:val="Normal"/>
            </w:pPr>
            <w:r w:rsidRPr="0390F112" w:rsidR="09C9F210">
              <w:rPr>
                <w:rFonts w:ascii="Twinkl" w:hAnsi="Twinkl" w:cs="Calibri"/>
                <w:sz w:val="20"/>
                <w:szCs w:val="20"/>
                <w:lang w:val="en-GB"/>
              </w:rPr>
              <w:t>Spiritual Link: Promotes reflection, personal growth, and understanding of Christian religious celebrations and their role in French society.</w:t>
            </w:r>
          </w:p>
          <w:p w:rsidR="0390F112" w:rsidP="0390F112" w:rsidRDefault="0390F112" w14:paraId="257CC090" w14:textId="1D6D5F1D">
            <w:pPr>
              <w:pStyle w:val="Normal"/>
              <w:rPr>
                <w:rFonts w:ascii="Twinkl" w:hAnsi="Twinkl" w:cs="Calibri"/>
                <w:sz w:val="20"/>
                <w:szCs w:val="20"/>
                <w:lang w:val="en-GB"/>
              </w:rPr>
            </w:pPr>
          </w:p>
          <w:p w:rsidR="09C9F210" w:rsidP="0390F112" w:rsidRDefault="09C9F210" w14:paraId="5DFEB86E" w14:textId="47D2B163">
            <w:pPr>
              <w:pStyle w:val="Normal"/>
            </w:pPr>
            <w:r w:rsidRPr="0390F112" w:rsidR="09C9F210">
              <w:rPr>
                <w:rFonts w:ascii="Twinkl" w:hAnsi="Twinkl" w:cs="Calibri"/>
                <w:sz w:val="20"/>
                <w:szCs w:val="20"/>
                <w:lang w:val="en-GB"/>
              </w:rPr>
              <w:t>4. Week 26 – WB 23 March (Spring 2)</w:t>
            </w:r>
          </w:p>
          <w:p w:rsidR="09C9F210" w:rsidP="0390F112" w:rsidRDefault="09C9F210" w14:paraId="367277DF" w14:textId="254D42CA">
            <w:pPr>
              <w:pStyle w:val="Normal"/>
            </w:pPr>
            <w:r w:rsidRPr="0390F112" w:rsidR="09C9F210">
              <w:rPr>
                <w:rFonts w:ascii="Twinkl" w:hAnsi="Twinkl" w:cs="Calibri"/>
                <w:sz w:val="20"/>
                <w:szCs w:val="20"/>
                <w:lang w:val="en-GB"/>
              </w:rPr>
              <w:t>Lessons 21 &amp; 22: Cultural focus on Easter in France including Les Cloches de Pâques (Easter Bells story).</w:t>
            </w:r>
          </w:p>
          <w:p w:rsidR="09C9F210" w:rsidP="0390F112" w:rsidRDefault="09C9F210" w14:paraId="1CB3C741" w14:textId="0DDE8123">
            <w:pPr>
              <w:pStyle w:val="Normal"/>
            </w:pPr>
            <w:r w:rsidRPr="0390F112" w:rsidR="09C9F210">
              <w:rPr>
                <w:rFonts w:ascii="Twinkl" w:hAnsi="Twinkl" w:cs="Calibri"/>
                <w:sz w:val="20"/>
                <w:szCs w:val="20"/>
                <w:lang w:val="en-GB"/>
              </w:rPr>
              <w:t>Spiritual Link: Encourages pupils to understand religious narratives, symbols of rebirth and renewal, and compare them to their own experiences or beliefs.</w:t>
            </w:r>
          </w:p>
          <w:p w:rsidR="0390F112" w:rsidP="0390F112" w:rsidRDefault="0390F112" w14:paraId="604F10A9" w14:textId="7A661096">
            <w:pPr>
              <w:rPr>
                <w:rFonts w:ascii="Twinkl" w:hAnsi="Twinkl" w:cs="Calibri"/>
                <w:sz w:val="20"/>
                <w:szCs w:val="20"/>
                <w:lang w:val="en-GB"/>
              </w:rPr>
            </w:pPr>
          </w:p>
          <w:p w:rsidRPr="00D83AA3" w:rsidR="00A457A1" w:rsidP="00A457A1" w:rsidRDefault="00A457A1" w14:paraId="17018E3D" w14:textId="413B72D5">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00A40311">
              <w:rPr>
                <w:rFonts w:ascii="Twinkl" w:hAnsi="Twinkl" w:cstheme="minorHAnsi"/>
                <w:sz w:val="20"/>
                <w:szCs w:val="20"/>
              </w:rPr>
              <w:t xml:space="preserve">Digital technology – pros and cons </w:t>
            </w:r>
          </w:p>
          <w:p w:rsidRPr="00D83AA3" w:rsidR="00A457A1" w:rsidP="00A457A1" w:rsidRDefault="00A457A1" w14:paraId="31BA8397" w14:textId="5784A072">
            <w:pPr>
              <w:autoSpaceDE w:val="0"/>
              <w:autoSpaceDN w:val="0"/>
              <w:adjustRightInd w:val="0"/>
              <w:rPr>
                <w:rFonts w:ascii="Twinkl" w:hAnsi="Twinkl" w:cstheme="minorHAnsi"/>
              </w:rPr>
            </w:pPr>
            <w:r w:rsidRPr="00D83AA3">
              <w:rPr>
                <w:rFonts w:ascii="Twinkl" w:hAnsi="Twinkl" w:cs="Arial"/>
                <w:b/>
                <w:sz w:val="20"/>
                <w:szCs w:val="20"/>
              </w:rPr>
              <w:t xml:space="preserve">Careers:  </w:t>
            </w:r>
            <w:r w:rsidRPr="00D83AA3">
              <w:rPr>
                <w:rFonts w:ascii="Twinkl" w:hAnsi="Twinkl" w:cs="Arial"/>
                <w:bCs/>
                <w:sz w:val="20"/>
                <w:szCs w:val="20"/>
              </w:rPr>
              <w:t xml:space="preserve">Consider skills, </w:t>
            </w:r>
            <w:proofErr w:type="gramStart"/>
            <w:r w:rsidRPr="00D83AA3">
              <w:rPr>
                <w:rFonts w:ascii="Twinkl" w:hAnsi="Twinkl" w:cs="Arial"/>
                <w:bCs/>
                <w:sz w:val="20"/>
                <w:szCs w:val="20"/>
              </w:rPr>
              <w:t>qualities</w:t>
            </w:r>
            <w:proofErr w:type="gramEnd"/>
            <w:r w:rsidRPr="00D83AA3">
              <w:rPr>
                <w:rFonts w:ascii="Twinkl" w:hAnsi="Twinkl" w:cs="Arial"/>
                <w:bCs/>
                <w:sz w:val="20"/>
                <w:szCs w:val="20"/>
              </w:rPr>
              <w:t xml:space="preserve"> and interests to work in the </w:t>
            </w:r>
            <w:r>
              <w:rPr>
                <w:rFonts w:ascii="Twinkl" w:hAnsi="Twinkl" w:cs="Arial"/>
                <w:bCs/>
                <w:sz w:val="20"/>
                <w:szCs w:val="20"/>
              </w:rPr>
              <w:t>technology sector</w:t>
            </w:r>
            <w:r w:rsidRPr="00D83AA3">
              <w:rPr>
                <w:rFonts w:ascii="Twinkl" w:hAnsi="Twinkl" w:cs="Arial"/>
                <w:bCs/>
                <w:sz w:val="20"/>
                <w:szCs w:val="20"/>
              </w:rPr>
              <w:t>; m</w:t>
            </w:r>
            <w:r w:rsidRPr="00D83AA3">
              <w:rPr>
                <w:rFonts w:ascii="Twinkl" w:hAnsi="Twinkl" w:cstheme="minorHAnsi"/>
                <w:sz w:val="20"/>
                <w:szCs w:val="20"/>
              </w:rPr>
              <w:t>eet the work of some famous figures in this career of the country</w:t>
            </w:r>
          </w:p>
          <w:p w:rsidRPr="00D83AA3" w:rsidR="00A457A1" w:rsidP="00A457A1" w:rsidRDefault="00A457A1" w14:paraId="5B5711FE" w14:textId="77777777">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 xml:space="preserve">Use of grammatical terms when teaching and explaining grammar in relation to the English equivalents. Use of cognates and etymology to build knowledge of English Knowledge </w:t>
            </w:r>
            <w:proofErr w:type="spellStart"/>
            <w:r w:rsidRPr="00D83AA3">
              <w:rPr>
                <w:rFonts w:ascii="Twinkl" w:hAnsi="Twinkl"/>
                <w:color w:val="000000"/>
                <w:sz w:val="20"/>
                <w:szCs w:val="20"/>
              </w:rPr>
              <w:t>organisers</w:t>
            </w:r>
            <w:proofErr w:type="spellEnd"/>
            <w:r w:rsidRPr="00D83AA3">
              <w:rPr>
                <w:rFonts w:ascii="Twinkl" w:hAnsi="Twinkl"/>
                <w:color w:val="000000"/>
                <w:sz w:val="20"/>
                <w:szCs w:val="20"/>
              </w:rPr>
              <w:t>/sentence builders improve awareness of sentence formation.</w:t>
            </w:r>
          </w:p>
          <w:p w:rsidRPr="00D83AA3" w:rsidR="007041FD" w:rsidP="00A457A1" w:rsidRDefault="00A457A1" w14:paraId="46F64BFE" w14:textId="365A2AD2">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Pr>
                <w:rFonts w:ascii="Twinkl" w:hAnsi="Twinkl" w:cs="Arial"/>
                <w:sz w:val="20"/>
                <w:szCs w:val="20"/>
              </w:rPr>
              <w:t>Numbers and dates</w:t>
            </w:r>
          </w:p>
        </w:tc>
      </w:tr>
      <w:tr w:rsidRPr="00D83AA3" w:rsidR="002D5DFE" w:rsidTr="0390F112"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0390F112"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w:t>
            </w:r>
            <w:proofErr w:type="gramStart"/>
            <w:r w:rsidRPr="00D83AA3">
              <w:rPr>
                <w:rStyle w:val="normaltextrun"/>
                <w:rFonts w:ascii="Twinkl" w:hAnsi="Twinkl" w:cs="Arial"/>
                <w:color w:val="000000"/>
                <w:sz w:val="20"/>
                <w:szCs w:val="20"/>
                <w:shd w:val="clear" w:color="auto" w:fill="FFFFFF"/>
              </w:rPr>
              <w:t>e.g.</w:t>
            </w:r>
            <w:proofErr w:type="gramEnd"/>
            <w:r w:rsidRPr="00D83AA3">
              <w:rPr>
                <w:rStyle w:val="normaltextrun"/>
                <w:rFonts w:ascii="Twinkl" w:hAnsi="Twinkl" w:cs="Arial"/>
                <w:color w:val="000000"/>
                <w:sz w:val="20"/>
                <w:szCs w:val="20"/>
                <w:shd w:val="clear" w:color="auto" w:fill="FFFFFF"/>
              </w:rPr>
              <w:t>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xml:space="preserve">: by providing different levels of supervision and </w:t>
            </w:r>
            <w:proofErr w:type="gramStart"/>
            <w:r w:rsidRPr="00D83AA3">
              <w:rPr>
                <w:rStyle w:val="normaltextrun"/>
                <w:rFonts w:ascii="Twinkl" w:hAnsi="Twinkl" w:cs="Arial"/>
                <w:color w:val="000000"/>
                <w:sz w:val="20"/>
                <w:szCs w:val="20"/>
                <w:shd w:val="clear" w:color="auto" w:fill="FFFFFF"/>
              </w:rPr>
              <w:t>support</w:t>
            </w:r>
            <w:proofErr w:type="gramEnd"/>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 xml:space="preserve">This QFT/SEND provision will be explicit within the </w:t>
            </w:r>
            <w:proofErr w:type="gramStart"/>
            <w:r w:rsidRPr="00D83AA3">
              <w:rPr>
                <w:rFonts w:ascii="Twinkl" w:hAnsi="Twinkl" w:eastAsia="Times New Roman" w:cs="Arial"/>
                <w:sz w:val="20"/>
                <w:szCs w:val="20"/>
                <w:lang w:val="en-GB" w:eastAsia="en-GB"/>
              </w:rPr>
              <w:t>lesson by lesson</w:t>
            </w:r>
            <w:proofErr w:type="gramEnd"/>
            <w:r w:rsidRPr="00D83AA3">
              <w:rPr>
                <w:rFonts w:ascii="Twinkl" w:hAnsi="Twinkl" w:eastAsia="Times New Roman" w:cs="Arial"/>
                <w:sz w:val="20"/>
                <w:szCs w:val="20"/>
                <w:lang w:val="en-GB" w:eastAsia="en-GB"/>
              </w:rPr>
              <w:t xml:space="preserve"> schemes of work.</w:t>
            </w:r>
          </w:p>
        </w:tc>
      </w:tr>
      <w:tr w:rsidRPr="00D83AA3" w:rsidR="00BA02B9" w:rsidTr="0390F112"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390F112"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8B6008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we have planned to provide pupils with a firm foundation of foreign language learning. Although our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7E21366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French works. Throughout our medium term and lesson by lesson planning, our aim is to make our curriculum relevant, matching the level of our pupils’ maturity whilst being ambitious yet accessible and enjoyable to all pupil groups. The Year 7 French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073431">
              <w:rPr>
                <w:rFonts w:ascii="Twinkl" w:hAnsi="Twinkl" w:eastAsia="Times New Roman" w:cs="Calibri"/>
                <w:color w:val="000000"/>
                <w:sz w:val="22"/>
                <w:szCs w:val="22"/>
                <w:bdr w:val="none" w:color="auto" w:sz="0" w:space="0" w:frame="1"/>
                <w:lang w:val="en-GB" w:eastAsia="en-GB"/>
              </w:rPr>
              <w:t>French</w:t>
            </w:r>
            <w:r w:rsidRPr="00D83AA3">
              <w:rPr>
                <w:rFonts w:ascii="Twinkl" w:hAnsi="Twinkl" w:eastAsia="Times New Roman" w:cs="Calibri"/>
                <w:color w:val="000000"/>
                <w:sz w:val="22"/>
                <w:szCs w:val="22"/>
                <w:bdr w:val="none" w:color="auto" w:sz="0" w:space="0" w:frame="1"/>
                <w:lang w:val="en-GB" w:eastAsia="en-GB"/>
              </w:rPr>
              <w:t xml:space="preserve">, our pupils are also encouraged to make cross-curricular links through a range of content and enrichment opportunities to see how studying a language can link to several career </w:t>
            </w:r>
            <w:proofErr w:type="gramStart"/>
            <w:r w:rsidRPr="00D83AA3">
              <w:rPr>
                <w:rFonts w:ascii="Twinkl" w:hAnsi="Twinkl" w:eastAsia="Times New Roman" w:cs="Calibri"/>
                <w:color w:val="000000"/>
                <w:sz w:val="22"/>
                <w:szCs w:val="22"/>
                <w:bdr w:val="none" w:color="auto" w:sz="0" w:space="0" w:frame="1"/>
                <w:lang w:val="en-GB" w:eastAsia="en-GB"/>
              </w:rPr>
              <w:t>paths</w:t>
            </w:r>
            <w:proofErr w:type="gramEnd"/>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 xml:space="preserve">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w:t>
            </w:r>
            <w:proofErr w:type="gramStart"/>
            <w:r w:rsidRPr="00D83AA3">
              <w:rPr>
                <w:rFonts w:ascii="Twinkl" w:hAnsi="Twinkl" w:eastAsia="Times New Roman" w:cs="Calibri"/>
                <w:color w:val="000000"/>
                <w:sz w:val="22"/>
                <w:szCs w:val="22"/>
                <w:bdr w:val="none" w:color="auto" w:sz="0" w:space="0" w:frame="1"/>
                <w:shd w:val="clear" w:color="auto" w:fill="FFFFFF"/>
                <w:lang w:val="en-GB" w:eastAsia="en-GB"/>
              </w:rPr>
              <w:t>are able to</w:t>
            </w:r>
            <w:proofErr w:type="gramEnd"/>
            <w:r w:rsidRPr="00D83AA3">
              <w:rPr>
                <w:rFonts w:ascii="Twinkl" w:hAnsi="Twinkl" w:eastAsia="Times New Roman" w:cs="Calibri"/>
                <w:color w:val="000000"/>
                <w:sz w:val="22"/>
                <w:szCs w:val="22"/>
                <w:bdr w:val="none" w:color="auto" w:sz="0" w:space="0" w:frame="1"/>
                <w:shd w:val="clear" w:color="auto" w:fill="FFFFFF"/>
                <w:lang w:val="en-GB" w:eastAsia="en-GB"/>
              </w:rPr>
              <w:t xml:space="preserve">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A40311" w:rsidP="00984A31" w:rsidRDefault="00A40311" w14:paraId="758E06FA"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p>
          <w:p w:rsidR="00A40311" w:rsidP="00984A31" w:rsidRDefault="004E7155" w14:paraId="194E7C54" w14:textId="6026F05D">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talk about a </w:t>
            </w:r>
            <w:r w:rsidRPr="00D153FF">
              <w:rPr>
                <w:rFonts w:ascii="Twinkl" w:hAnsi="Twinkl" w:eastAsia="Times New Roman" w:cs="Calibri"/>
                <w:color w:val="FF0000"/>
                <w:sz w:val="22"/>
                <w:szCs w:val="22"/>
                <w:bdr w:val="none" w:color="auto" w:sz="0" w:space="0" w:frame="1"/>
                <w:shd w:val="clear" w:color="auto" w:fill="FFFFFF"/>
                <w:lang w:val="en-GB" w:eastAsia="en-GB"/>
              </w:rPr>
              <w:t>future</w:t>
            </w:r>
            <w:r>
              <w:rPr>
                <w:rFonts w:ascii="Twinkl" w:hAnsi="Twinkl" w:eastAsia="Times New Roman" w:cs="Calibri"/>
                <w:color w:val="000000"/>
                <w:sz w:val="22"/>
                <w:szCs w:val="22"/>
                <w:bdr w:val="none" w:color="auto" w:sz="0" w:space="0" w:frame="1"/>
                <w:shd w:val="clear" w:color="auto" w:fill="FFFFFF"/>
                <w:lang w:val="en-GB" w:eastAsia="en-GB"/>
              </w:rPr>
              <w:t xml:space="preserve"> trip</w:t>
            </w:r>
            <w:r w:rsidR="00735BDF">
              <w:rPr>
                <w:rFonts w:ascii="Twinkl" w:hAnsi="Twinkl" w:eastAsia="Times New Roman" w:cs="Calibri"/>
                <w:color w:val="000000"/>
                <w:sz w:val="22"/>
                <w:szCs w:val="22"/>
                <w:bdr w:val="none" w:color="auto" w:sz="0" w:space="0" w:frame="1"/>
                <w:shd w:val="clear" w:color="auto" w:fill="FFFFFF"/>
                <w:lang w:val="en-GB" w:eastAsia="en-GB"/>
              </w:rPr>
              <w:t>.</w:t>
            </w:r>
          </w:p>
          <w:p w:rsidR="004E7155" w:rsidP="00984A31" w:rsidRDefault="004E7155" w14:paraId="5FD1C139" w14:textId="3B2B0292">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make New Year’s resolutions. </w:t>
            </w:r>
          </w:p>
          <w:p w:rsidR="00735BDF" w:rsidP="00984A31" w:rsidRDefault="00735BDF" w14:paraId="08BB0955"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p>
          <w:p w:rsidR="00735BDF" w:rsidP="00984A31" w:rsidRDefault="00735BDF" w14:paraId="1A1B7C03" w14:textId="783AC260">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talk about celebrities. </w:t>
            </w:r>
          </w:p>
          <w:p w:rsidR="00735BDF" w:rsidP="00984A31" w:rsidRDefault="00735BDF" w14:paraId="3B1DB4D5" w14:textId="4BDC6D73">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talk about </w:t>
            </w:r>
            <w:r w:rsidR="008C131B">
              <w:rPr>
                <w:rFonts w:ascii="Twinkl" w:hAnsi="Twinkl" w:eastAsia="Times New Roman" w:cs="Calibri"/>
                <w:color w:val="000000"/>
                <w:sz w:val="22"/>
                <w:szCs w:val="22"/>
                <w:bdr w:val="none" w:color="auto" w:sz="0" w:space="0" w:frame="1"/>
                <w:shd w:val="clear" w:color="auto" w:fill="FFFFFF"/>
                <w:lang w:val="en-GB" w:eastAsia="en-GB"/>
              </w:rPr>
              <w:t xml:space="preserve">types of TV programmes. </w:t>
            </w:r>
          </w:p>
          <w:p w:rsidR="008C131B" w:rsidP="00984A31" w:rsidRDefault="008C131B" w14:paraId="0BAC6CB9" w14:textId="5BFAF04D">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talk about digital </w:t>
            </w:r>
            <w:proofErr w:type="gramStart"/>
            <w:r>
              <w:rPr>
                <w:rFonts w:ascii="Twinkl" w:hAnsi="Twinkl" w:eastAsia="Times New Roman" w:cs="Calibri"/>
                <w:color w:val="000000"/>
                <w:sz w:val="22"/>
                <w:szCs w:val="22"/>
                <w:bdr w:val="none" w:color="auto" w:sz="0" w:space="0" w:frame="1"/>
                <w:shd w:val="clear" w:color="auto" w:fill="FFFFFF"/>
                <w:lang w:val="en-GB" w:eastAsia="en-GB"/>
              </w:rPr>
              <w:t>technology</w:t>
            </w:r>
            <w:proofErr w:type="gramEnd"/>
          </w:p>
          <w:p w:rsidR="00F66EB3" w:rsidP="00984A31" w:rsidRDefault="00F66EB3" w14:paraId="21431272" w14:textId="1C87D91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 xml:space="preserve">I can arrange to go to the </w:t>
            </w:r>
            <w:proofErr w:type="gramStart"/>
            <w:r>
              <w:rPr>
                <w:rFonts w:ascii="Twinkl" w:hAnsi="Twinkl" w:eastAsia="Times New Roman" w:cs="Calibri"/>
                <w:color w:val="000000"/>
                <w:sz w:val="22"/>
                <w:szCs w:val="22"/>
                <w:bdr w:val="none" w:color="auto" w:sz="0" w:space="0" w:frame="1"/>
                <w:shd w:val="clear" w:color="auto" w:fill="FFFFFF"/>
                <w:lang w:val="en-GB" w:eastAsia="en-GB"/>
              </w:rPr>
              <w:t>cinema</w:t>
            </w:r>
            <w:proofErr w:type="gramEnd"/>
            <w:r>
              <w:rPr>
                <w:rFonts w:ascii="Twinkl" w:hAnsi="Twinkl" w:eastAsia="Times New Roman" w:cs="Calibri"/>
                <w:color w:val="000000"/>
                <w:sz w:val="22"/>
                <w:szCs w:val="22"/>
                <w:bdr w:val="none" w:color="auto" w:sz="0" w:space="0" w:frame="1"/>
                <w:shd w:val="clear" w:color="auto" w:fill="FFFFFF"/>
                <w:lang w:val="en-GB" w:eastAsia="en-GB"/>
              </w:rPr>
              <w:t xml:space="preserve"> </w:t>
            </w:r>
          </w:p>
          <w:p w:rsidR="008C131B" w:rsidP="00984A31" w:rsidRDefault="00D153FF" w14:paraId="65052DF7" w14:textId="2EBFDD60">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Pr>
                <w:rFonts w:ascii="Twinkl" w:hAnsi="Twinkl" w:eastAsia="Times New Roman" w:cs="Calibri"/>
                <w:color w:val="000000"/>
                <w:sz w:val="22"/>
                <w:szCs w:val="22"/>
                <w:bdr w:val="none" w:color="auto" w:sz="0" w:space="0" w:frame="1"/>
                <w:shd w:val="clear" w:color="auto" w:fill="FFFFFF"/>
                <w:lang w:val="en-GB" w:eastAsia="en-GB"/>
              </w:rPr>
              <w:t>I can understand a French film.</w:t>
            </w:r>
          </w:p>
          <w:p w:rsidRPr="00D83AA3" w:rsidR="004E7155" w:rsidP="00984A31" w:rsidRDefault="004E7155" w14:paraId="505C1C48"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p>
          <w:p w:rsidR="00984A31" w:rsidP="00984A31" w:rsidRDefault="00984A31" w14:paraId="45007069" w14:textId="53845BD3">
            <w:pPr>
              <w:shd w:val="clear" w:color="auto" w:fill="FFFFFF"/>
              <w:spacing w:line="235" w:lineRule="atLeast"/>
              <w:rPr>
                <w:rFonts w:ascii="Twinkl" w:hAnsi="Twinkl" w:eastAsia="Times New Roman" w:cs="Calibri"/>
                <w:color w:val="000000"/>
                <w:sz w:val="22"/>
                <w:szCs w:val="22"/>
                <w:lang w:val="en-GB" w:eastAsia="en-GB"/>
              </w:rPr>
            </w:pPr>
          </w:p>
          <w:p w:rsidRPr="00D83AA3" w:rsidR="00BA02B9" w:rsidP="00F83839" w:rsidRDefault="008A5A2D" w14:paraId="2DEC4842" w14:textId="58EB5E12">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w:t>
            </w:r>
            <w:r w:rsidR="00873C76">
              <w:rPr>
                <w:rFonts w:ascii="Twinkl" w:hAnsi="Twinkl" w:eastAsia="Times New Roman" w:cstheme="minorHAnsi"/>
                <w:color w:val="000000" w:themeColor="text1"/>
                <w:sz w:val="20"/>
                <w:szCs w:val="20"/>
                <w:lang w:val="en-GB" w:eastAsia="en-GB"/>
              </w:rPr>
              <w:t xml:space="preserve">year 7 or Autumn term. </w:t>
            </w:r>
          </w:p>
        </w:tc>
      </w:tr>
      <w:tr w:rsidRPr="00D83AA3" w:rsidR="00BA02B9" w:rsidTr="0390F112"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49582472">
            <w:pPr>
              <w:jc w:val="center"/>
              <w:rPr>
                <w:rFonts w:ascii="Twinkl" w:hAnsi="Twinkl"/>
                <w:b/>
              </w:rPr>
            </w:pPr>
            <w:r w:rsidRPr="00D83AA3">
              <w:rPr>
                <w:rFonts w:ascii="Twinkl" w:hAnsi="Twinkl"/>
                <w:b/>
              </w:rPr>
              <w:t>Learning Outcomes (</w:t>
            </w:r>
            <w:r w:rsidR="003106B0">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293A85" w:rsidR="00BA02B9" w:rsidTr="0390F112"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3BED530F">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00873C76">
              <w:rPr>
                <w:rFonts w:ascii="Twinkl" w:hAnsi="Twinkl" w:eastAsia="Times New Roman" w:cstheme="minorHAnsi"/>
                <w:color w:val="000000" w:themeColor="text1"/>
                <w:sz w:val="20"/>
                <w:szCs w:val="20"/>
                <w:lang w:val="en-GB" w:eastAsia="en-GB"/>
              </w:rPr>
              <w:t xml:space="preserve">year 7 or Autumn term. </w:t>
            </w:r>
          </w:p>
          <w:p w:rsidRPr="00984699" w:rsidR="00BF3E5A" w:rsidP="00D153FF" w:rsidRDefault="00BF3E5A" w14:paraId="1EA52397" w14:textId="573FA89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984699">
              <w:rPr>
                <w:rFonts w:ascii="Twinkl" w:hAnsi="Twinkl" w:eastAsia="Times New Roman" w:cstheme="minorHAnsi"/>
                <w:color w:val="FF0000"/>
                <w:sz w:val="20"/>
                <w:szCs w:val="20"/>
                <w:lang w:val="de-DE" w:eastAsia="en-GB"/>
              </w:rPr>
              <w:t xml:space="preserve">Conjugating </w:t>
            </w:r>
            <w:r w:rsidRPr="00984699" w:rsidR="00984699">
              <w:rPr>
                <w:rFonts w:ascii="Twinkl" w:hAnsi="Twinkl" w:eastAsia="Times New Roman" w:cstheme="minorHAnsi"/>
                <w:color w:val="FF0000"/>
                <w:sz w:val="20"/>
                <w:szCs w:val="20"/>
                <w:lang w:val="de-DE" w:eastAsia="en-GB"/>
              </w:rPr>
              <w:t xml:space="preserve">aller </w:t>
            </w:r>
          </w:p>
          <w:p w:rsidRPr="00984699" w:rsidR="00C768E1" w:rsidP="00D153FF" w:rsidRDefault="00BF3E5A" w14:paraId="4989A6DA"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984699">
              <w:rPr>
                <w:rFonts w:ascii="Twinkl" w:hAnsi="Twinkl" w:eastAsia="Times New Roman" w:cstheme="minorHAnsi"/>
                <w:color w:val="FF0000"/>
                <w:sz w:val="20"/>
                <w:szCs w:val="20"/>
                <w:lang w:val="de-DE" w:eastAsia="en-GB"/>
              </w:rPr>
              <w:t>Using the near future tense</w:t>
            </w:r>
          </w:p>
          <w:p w:rsidR="00BF3E5A" w:rsidP="00D153FF" w:rsidRDefault="00BF3E5A" w14:paraId="70CD947E"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questions in the near future tense</w:t>
            </w:r>
          </w:p>
          <w:p w:rsidRPr="00984699" w:rsidR="007B736B" w:rsidP="003F613C" w:rsidRDefault="00BF3E5A" w14:paraId="4DA1C8D2"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984699">
              <w:rPr>
                <w:rFonts w:ascii="Twinkl" w:hAnsi="Twinkl" w:eastAsia="Times New Roman" w:cstheme="minorHAnsi"/>
                <w:color w:val="FF0000"/>
                <w:sz w:val="20"/>
                <w:szCs w:val="20"/>
                <w:lang w:val="de-DE" w:eastAsia="en-GB"/>
              </w:rPr>
              <w:t xml:space="preserve">Using the present and the near future together </w:t>
            </w:r>
          </w:p>
          <w:p w:rsidRPr="00984699" w:rsidR="003F613C" w:rsidP="003F613C" w:rsidRDefault="003F613C" w14:paraId="673F37B0"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984699">
              <w:rPr>
                <w:rFonts w:ascii="Twinkl" w:hAnsi="Twinkl" w:eastAsia="Times New Roman" w:cstheme="minorHAnsi"/>
                <w:color w:val="FF0000"/>
                <w:sz w:val="20"/>
                <w:szCs w:val="20"/>
                <w:lang w:val="de-DE" w:eastAsia="en-GB"/>
              </w:rPr>
              <w:t xml:space="preserve">Using singular and plural adjectival agreement </w:t>
            </w:r>
          </w:p>
          <w:p w:rsidRPr="00984699" w:rsidR="003F613C" w:rsidP="003F613C" w:rsidRDefault="003F613C" w14:paraId="57DB5DA3"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984699">
              <w:rPr>
                <w:rFonts w:ascii="Twinkl" w:hAnsi="Twinkl" w:eastAsia="Times New Roman" w:cstheme="minorHAnsi"/>
                <w:color w:val="FF0000"/>
                <w:sz w:val="20"/>
                <w:szCs w:val="20"/>
                <w:lang w:val="de-DE" w:eastAsia="en-GB"/>
              </w:rPr>
              <w:t xml:space="preserve">Giving reasons why you like something </w:t>
            </w:r>
          </w:p>
          <w:p w:rsidR="003F613C" w:rsidP="003F613C" w:rsidRDefault="003F613C" w14:paraId="767BDBEF"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Asking questions</w:t>
            </w:r>
          </w:p>
          <w:p w:rsidRPr="003F613C" w:rsidR="003F613C" w:rsidP="003F613C" w:rsidRDefault="003F613C" w14:paraId="679DFC9B" w14:textId="767BCFA6">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p>
        </w:tc>
      </w:tr>
      <w:tr w:rsidRPr="00D83AA3" w:rsidR="00D85601" w:rsidTr="0390F112" w14:paraId="34B14AE7" w14:textId="77777777">
        <w:trPr>
          <w:trHeight w:val="615"/>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Pr="00495F84" w:rsidR="0071084E" w:rsidP="00495F84" w:rsidRDefault="00A25119" w14:paraId="1E802251" w14:textId="04654F7A">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All grammar to be built on in future years </w:t>
            </w:r>
          </w:p>
        </w:tc>
      </w:tr>
      <w:tr w:rsidRPr="00D83AA3" w:rsidR="00BA02B9" w:rsidTr="0390F112"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0390F112"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7EBC" w:rsidP="00C40517" w:rsidRDefault="009B7EBC" w14:paraId="61461ADC" w14:textId="77777777">
      <w:r>
        <w:separator/>
      </w:r>
    </w:p>
  </w:endnote>
  <w:endnote w:type="continuationSeparator" w:id="0">
    <w:p w:rsidR="009B7EBC" w:rsidP="00C40517" w:rsidRDefault="009B7EBC" w14:paraId="500E5621" w14:textId="77777777">
      <w:r>
        <w:continuationSeparator/>
      </w:r>
    </w:p>
  </w:endnote>
  <w:endnote w:type="continuationNotice" w:id="1">
    <w:p w:rsidR="009B7EBC" w:rsidRDefault="009B7EBC" w14:paraId="3298784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7EBC" w:rsidP="00C40517" w:rsidRDefault="009B7EBC" w14:paraId="3F60EE21" w14:textId="77777777">
      <w:r>
        <w:separator/>
      </w:r>
    </w:p>
  </w:footnote>
  <w:footnote w:type="continuationSeparator" w:id="0">
    <w:p w:rsidR="009B7EBC" w:rsidP="00C40517" w:rsidRDefault="009B7EBC" w14:paraId="76D8D33D" w14:textId="77777777">
      <w:r>
        <w:continuationSeparator/>
      </w:r>
    </w:p>
  </w:footnote>
  <w:footnote w:type="continuationNotice" w:id="1">
    <w:p w:rsidR="009B7EBC" w:rsidRDefault="009B7EBC" w14:paraId="0DA7B35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46898739">
    <w:abstractNumId w:val="4"/>
  </w:num>
  <w:num w:numId="2" w16cid:durableId="466969116">
    <w:abstractNumId w:val="2"/>
  </w:num>
  <w:num w:numId="3" w16cid:durableId="161553374">
    <w:abstractNumId w:val="28"/>
  </w:num>
  <w:num w:numId="4" w16cid:durableId="126051203">
    <w:abstractNumId w:val="33"/>
  </w:num>
  <w:num w:numId="5" w16cid:durableId="1805004500">
    <w:abstractNumId w:val="11"/>
  </w:num>
  <w:num w:numId="6" w16cid:durableId="1365716793">
    <w:abstractNumId w:val="16"/>
  </w:num>
  <w:num w:numId="7" w16cid:durableId="763846277">
    <w:abstractNumId w:val="27"/>
  </w:num>
  <w:num w:numId="8" w16cid:durableId="1607889365">
    <w:abstractNumId w:val="14"/>
  </w:num>
  <w:num w:numId="9" w16cid:durableId="2066946811">
    <w:abstractNumId w:val="22"/>
  </w:num>
  <w:num w:numId="10" w16cid:durableId="718826663">
    <w:abstractNumId w:val="0"/>
  </w:num>
  <w:num w:numId="11" w16cid:durableId="472602800">
    <w:abstractNumId w:val="32"/>
  </w:num>
  <w:num w:numId="12" w16cid:durableId="27335388">
    <w:abstractNumId w:val="12"/>
  </w:num>
  <w:num w:numId="13" w16cid:durableId="2120029101">
    <w:abstractNumId w:val="29"/>
  </w:num>
  <w:num w:numId="14" w16cid:durableId="970792042">
    <w:abstractNumId w:val="7"/>
  </w:num>
  <w:num w:numId="15" w16cid:durableId="1236162265">
    <w:abstractNumId w:val="30"/>
  </w:num>
  <w:num w:numId="16" w16cid:durableId="866024194">
    <w:abstractNumId w:val="18"/>
  </w:num>
  <w:num w:numId="17" w16cid:durableId="900600609">
    <w:abstractNumId w:val="10"/>
  </w:num>
  <w:num w:numId="18" w16cid:durableId="1993682143">
    <w:abstractNumId w:val="20"/>
  </w:num>
  <w:num w:numId="19" w16cid:durableId="493187622">
    <w:abstractNumId w:val="31"/>
  </w:num>
  <w:num w:numId="20" w16cid:durableId="2044472531">
    <w:abstractNumId w:val="1"/>
  </w:num>
  <w:num w:numId="21" w16cid:durableId="664281146">
    <w:abstractNumId w:val="9"/>
  </w:num>
  <w:num w:numId="22" w16cid:durableId="1840272274">
    <w:abstractNumId w:val="15"/>
  </w:num>
  <w:num w:numId="23" w16cid:durableId="1167282326">
    <w:abstractNumId w:val="23"/>
  </w:num>
  <w:num w:numId="24" w16cid:durableId="728385615">
    <w:abstractNumId w:val="21"/>
  </w:num>
  <w:num w:numId="25" w16cid:durableId="2029720914">
    <w:abstractNumId w:val="3"/>
  </w:num>
  <w:num w:numId="26" w16cid:durableId="115684006">
    <w:abstractNumId w:val="25"/>
  </w:num>
  <w:num w:numId="27" w16cid:durableId="567543765">
    <w:abstractNumId w:val="17"/>
  </w:num>
  <w:num w:numId="28" w16cid:durableId="1263687438">
    <w:abstractNumId w:val="26"/>
  </w:num>
  <w:num w:numId="29" w16cid:durableId="246697824">
    <w:abstractNumId w:val="6"/>
  </w:num>
  <w:num w:numId="30" w16cid:durableId="787044702">
    <w:abstractNumId w:val="5"/>
  </w:num>
  <w:num w:numId="31" w16cid:durableId="1356037788">
    <w:abstractNumId w:val="24"/>
  </w:num>
  <w:num w:numId="32" w16cid:durableId="415327173">
    <w:abstractNumId w:val="13"/>
  </w:num>
  <w:num w:numId="33" w16cid:durableId="929124469">
    <w:abstractNumId w:val="8"/>
  </w:num>
  <w:num w:numId="34" w16cid:durableId="123131296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C7F97"/>
    <w:rsid w:val="002D099A"/>
    <w:rsid w:val="002D29B6"/>
    <w:rsid w:val="002D3CBB"/>
    <w:rsid w:val="002D418E"/>
    <w:rsid w:val="002D5DFE"/>
    <w:rsid w:val="002D65B4"/>
    <w:rsid w:val="002D70E2"/>
    <w:rsid w:val="002E387C"/>
    <w:rsid w:val="002E391F"/>
    <w:rsid w:val="002F366A"/>
    <w:rsid w:val="003010A9"/>
    <w:rsid w:val="003106B0"/>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4C75"/>
    <w:rsid w:val="003B4EB6"/>
    <w:rsid w:val="003C1B98"/>
    <w:rsid w:val="003C3EC5"/>
    <w:rsid w:val="003C7CA1"/>
    <w:rsid w:val="003D6370"/>
    <w:rsid w:val="003E3FC6"/>
    <w:rsid w:val="003F0557"/>
    <w:rsid w:val="003F24AE"/>
    <w:rsid w:val="003F613C"/>
    <w:rsid w:val="00403FDC"/>
    <w:rsid w:val="00406223"/>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5F84"/>
    <w:rsid w:val="00496D25"/>
    <w:rsid w:val="004A2735"/>
    <w:rsid w:val="004A3A38"/>
    <w:rsid w:val="004B5011"/>
    <w:rsid w:val="004B7E71"/>
    <w:rsid w:val="004C2CBB"/>
    <w:rsid w:val="004C3263"/>
    <w:rsid w:val="004C7A02"/>
    <w:rsid w:val="004D5718"/>
    <w:rsid w:val="004D5EC0"/>
    <w:rsid w:val="004D62EC"/>
    <w:rsid w:val="004D7D5F"/>
    <w:rsid w:val="004E3020"/>
    <w:rsid w:val="004E7155"/>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5BDF"/>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BC5"/>
    <w:rsid w:val="007B736B"/>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625F"/>
    <w:rsid w:val="00892293"/>
    <w:rsid w:val="008947B7"/>
    <w:rsid w:val="008A0298"/>
    <w:rsid w:val="008A48F5"/>
    <w:rsid w:val="008A5A2D"/>
    <w:rsid w:val="008A66D5"/>
    <w:rsid w:val="008C131B"/>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699"/>
    <w:rsid w:val="00984A31"/>
    <w:rsid w:val="00994B27"/>
    <w:rsid w:val="00996C99"/>
    <w:rsid w:val="009A01B8"/>
    <w:rsid w:val="009A2F79"/>
    <w:rsid w:val="009A3700"/>
    <w:rsid w:val="009A6ABD"/>
    <w:rsid w:val="009B7A0D"/>
    <w:rsid w:val="009B7EBC"/>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311"/>
    <w:rsid w:val="00A409CA"/>
    <w:rsid w:val="00A457A1"/>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3E5A"/>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153F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66EB3"/>
    <w:rsid w:val="00F70AE7"/>
    <w:rsid w:val="00F72BA4"/>
    <w:rsid w:val="00F73817"/>
    <w:rsid w:val="00F7440C"/>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0390F112"/>
    <w:rsid w:val="09C9F210"/>
    <w:rsid w:val="52C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infopath/2007/PartnerControls"/>
    <ds:schemaRef ds:uri="http://purl.org/dc/elements/1.1/"/>
    <ds:schemaRef ds:uri="http://purl.org/dc/terms/"/>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24851bb4-962e-44b8-9b82-30e065103cd7"/>
    <ds:schemaRef ds:uri="d3d4419c-0be6-49ec-9312-a60fa7bb70b1"/>
  </ds:schemaRefs>
</ds:datastoreItem>
</file>

<file path=customXml/itemProps3.xml><?xml version="1.0" encoding="utf-8"?>
<ds:datastoreItem xmlns:ds="http://schemas.openxmlformats.org/officeDocument/2006/customXml" ds:itemID="{FC088666-2697-4647-AABC-DB1618CB7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18</revision>
  <lastPrinted>2022-01-21T12:35:00.0000000Z</lastPrinted>
  <dcterms:created xsi:type="dcterms:W3CDTF">2022-01-21T15:10:00.0000000Z</dcterms:created>
  <dcterms:modified xsi:type="dcterms:W3CDTF">2025-06-27T13:19:08.0256746Z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