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3811"/>
        <w:gridCol w:w="5141"/>
      </w:tblGrid>
      <w:tr w:rsidRPr="00D83AA3" w:rsidR="00E741AE" w:rsidTr="7A21D79B" w14:paraId="491C8FA4" w14:textId="1828FA99">
        <w:trPr>
          <w:trHeight w:val="231"/>
        </w:trPr>
        <w:tc>
          <w:tcPr>
            <w:tcW w:w="11052" w:type="dxa"/>
            <w:gridSpan w:val="3"/>
            <w:tcMar/>
            <w:vAlign w:val="center"/>
          </w:tcPr>
          <w:p w:rsidRPr="00D83AA3" w:rsidR="00E741AE" w:rsidP="00BA45DC" w:rsidRDefault="00F72BA4" w14:paraId="4E3A8083" w14:textId="4F3CD4CB">
            <w:pPr>
              <w:jc w:val="center"/>
              <w:rPr>
                <w:rFonts w:ascii="Twinkl" w:hAnsi="Twinkl"/>
                <w:b/>
                <w:sz w:val="36"/>
                <w:szCs w:val="40"/>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63AA538F">
                  <wp:simplePos x="0" y="0"/>
                  <wp:positionH relativeFrom="column">
                    <wp:posOffset>-816610</wp:posOffset>
                  </wp:positionH>
                  <wp:positionV relativeFrom="paragraph">
                    <wp:posOffset>111760</wp:posOffset>
                  </wp:positionV>
                  <wp:extent cx="712470" cy="760095"/>
                  <wp:effectExtent l="0" t="0" r="0" b="190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12470" cy="760095"/>
                          </a:xfrm>
                          <a:prstGeom prst="rect">
                            <a:avLst/>
                          </a:prstGeom>
                        </pic:spPr>
                      </pic:pic>
                    </a:graphicData>
                  </a:graphic>
                  <wp14:sizeRelH relativeFrom="page">
                    <wp14:pctWidth>0</wp14:pctWidth>
                  </wp14:sizeRelH>
                  <wp14:sizeRelV relativeFrom="page">
                    <wp14:pctHeight>0</wp14:pctHeight>
                  </wp14:sizeRelV>
                </wp:anchor>
              </w:drawing>
            </w:r>
            <w:r w:rsidRPr="00D83AA3">
              <w:rPr>
                <w:rFonts w:ascii="Twinkl" w:hAnsi="Twinkl"/>
                <w:noProof/>
                <w:lang w:val="en-GB" w:eastAsia="en-GB"/>
              </w:rPr>
              <w:drawing>
                <wp:anchor distT="0" distB="0" distL="114300" distR="114300" simplePos="0" relativeHeight="251658241" behindDoc="0" locked="0" layoutInCell="1" allowOverlap="1" wp14:anchorId="0B72C677" wp14:editId="6F933896">
                  <wp:simplePos x="0" y="0"/>
                  <wp:positionH relativeFrom="column">
                    <wp:posOffset>6254750</wp:posOffset>
                  </wp:positionH>
                  <wp:positionV relativeFrom="paragraph">
                    <wp:posOffset>55880</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r w:rsidRPr="00D83AA3" w:rsidR="002818A9">
              <w:rPr>
                <w:rFonts w:ascii="Twinkl" w:hAnsi="Twinkl"/>
                <w:b/>
                <w:sz w:val="36"/>
                <w:szCs w:val="40"/>
              </w:rPr>
              <w:t xml:space="preserve">YEAR </w:t>
            </w:r>
            <w:r w:rsidRPr="00D83AA3" w:rsidR="006D13B2">
              <w:rPr>
                <w:rFonts w:ascii="Twinkl" w:hAnsi="Twinkl"/>
                <w:b/>
                <w:sz w:val="36"/>
                <w:szCs w:val="40"/>
              </w:rPr>
              <w:t xml:space="preserve">7 </w:t>
            </w:r>
            <w:r w:rsidR="00D31673">
              <w:rPr>
                <w:rFonts w:ascii="Twinkl" w:hAnsi="Twinkl"/>
                <w:b/>
                <w:sz w:val="36"/>
                <w:szCs w:val="40"/>
              </w:rPr>
              <w:t>SPANISH</w:t>
            </w:r>
            <w:r w:rsidRPr="00D83AA3" w:rsidR="00676160">
              <w:rPr>
                <w:rFonts w:ascii="Twinkl" w:hAnsi="Twinkl"/>
                <w:b/>
                <w:sz w:val="36"/>
                <w:szCs w:val="40"/>
              </w:rPr>
              <w:t xml:space="preserve"> </w:t>
            </w:r>
            <w:r w:rsidR="00193CD2">
              <w:rPr>
                <w:rFonts w:ascii="Twinkl" w:hAnsi="Twinkl"/>
                <w:b/>
                <w:sz w:val="36"/>
                <w:szCs w:val="40"/>
              </w:rPr>
              <w:t>SUMMER</w:t>
            </w:r>
            <w:r w:rsidRPr="00D83AA3" w:rsidR="00387EAA">
              <w:rPr>
                <w:rFonts w:ascii="Twinkl" w:hAnsi="Twinkl"/>
                <w:b/>
                <w:sz w:val="36"/>
                <w:szCs w:val="40"/>
              </w:rPr>
              <w:t xml:space="preserve"> TERM </w:t>
            </w:r>
            <w:r w:rsidRPr="00D83AA3" w:rsidR="007F7E04">
              <w:rPr>
                <w:rFonts w:ascii="Twinkl" w:hAnsi="Twinkl"/>
                <w:b/>
                <w:sz w:val="36"/>
                <w:szCs w:val="40"/>
              </w:rPr>
              <w:t xml:space="preserve"> </w:t>
            </w:r>
          </w:p>
          <w:p w:rsidRPr="00D83AA3" w:rsidR="00DE37B3" w:rsidP="00BA45DC" w:rsidRDefault="00F72BA4" w14:paraId="71E97DEA" w14:textId="77777777">
            <w:pPr>
              <w:jc w:val="center"/>
              <w:rPr>
                <w:rFonts w:ascii="Twinkl" w:hAnsi="Twinkl"/>
                <w:b/>
                <w:sz w:val="22"/>
                <w:szCs w:val="22"/>
              </w:rPr>
            </w:pPr>
            <w:r w:rsidRPr="00D83AA3">
              <w:rPr>
                <w:rFonts w:ascii="Twinkl" w:hAnsi="Twinkl"/>
                <w:b/>
                <w:sz w:val="22"/>
                <w:szCs w:val="22"/>
              </w:rPr>
              <w:t xml:space="preserve"> </w:t>
            </w:r>
            <w:r w:rsidRPr="00D83AA3" w:rsidR="00DE37B3">
              <w:rPr>
                <w:rFonts w:ascii="Twinkl" w:hAnsi="Twinkl"/>
                <w:b/>
                <w:sz w:val="22"/>
                <w:szCs w:val="22"/>
              </w:rPr>
              <w:t xml:space="preserve">‘An ambitious curriculum that meets the needs of </w:t>
            </w:r>
            <w:r w:rsidRPr="00D83AA3">
              <w:rPr>
                <w:rFonts w:ascii="Twinkl" w:hAnsi="Twinkl"/>
                <w:b/>
                <w:sz w:val="22"/>
                <w:szCs w:val="22"/>
              </w:rPr>
              <w:t>all’</w:t>
            </w:r>
          </w:p>
          <w:p w:rsidRPr="00D83AA3" w:rsidR="006B672F" w:rsidP="00AB18B5" w:rsidRDefault="006B672F" w14:paraId="77227CDF" w14:textId="7F30F223">
            <w:pPr>
              <w:jc w:val="center"/>
              <w:rPr>
                <w:rFonts w:ascii="Twinkl" w:hAnsi="Twinkl"/>
                <w:b/>
                <w:sz w:val="32"/>
                <w:szCs w:val="32"/>
              </w:rPr>
            </w:pPr>
            <w:r w:rsidRPr="00D83AA3">
              <w:rPr>
                <w:rFonts w:ascii="Twinkl" w:hAnsi="Twinkl"/>
                <w:b/>
                <w:sz w:val="32"/>
                <w:szCs w:val="32"/>
              </w:rPr>
              <w:t>Medium Term Planning</w:t>
            </w:r>
            <w:r w:rsidRPr="00D83AA3" w:rsidR="00BA02B9">
              <w:rPr>
                <w:rFonts w:ascii="Twinkl" w:hAnsi="Twinkl"/>
                <w:b/>
                <w:sz w:val="32"/>
                <w:szCs w:val="32"/>
              </w:rPr>
              <w:t xml:space="preserve"> - </w:t>
            </w:r>
            <w:r w:rsidRPr="00D83AA3" w:rsidR="007B4DAC">
              <w:rPr>
                <w:rFonts w:ascii="Twinkl" w:hAnsi="Twinkl"/>
                <w:b/>
                <w:sz w:val="32"/>
                <w:szCs w:val="32"/>
              </w:rPr>
              <w:t>Topic:</w:t>
            </w:r>
            <w:r w:rsidRPr="00D83AA3" w:rsidR="00486A9D">
              <w:rPr>
                <w:rFonts w:ascii="Twinkl" w:hAnsi="Twinkl"/>
                <w:b/>
                <w:sz w:val="32"/>
                <w:szCs w:val="32"/>
              </w:rPr>
              <w:t xml:space="preserve"> </w:t>
            </w:r>
            <w:r w:rsidR="00751FF8">
              <w:rPr>
                <w:rFonts w:ascii="Twinkl" w:hAnsi="Twinkl"/>
                <w:b/>
                <w:sz w:val="32"/>
                <w:szCs w:val="32"/>
              </w:rPr>
              <w:t xml:space="preserve">My School (cont.) and </w:t>
            </w:r>
            <w:r w:rsidR="000A08F6">
              <w:rPr>
                <w:rFonts w:ascii="Twinkl" w:hAnsi="Twinkl"/>
                <w:b/>
                <w:sz w:val="32"/>
                <w:szCs w:val="32"/>
              </w:rPr>
              <w:t>Home and City</w:t>
            </w:r>
          </w:p>
        </w:tc>
      </w:tr>
      <w:tr w:rsidRPr="00D83AA3" w:rsidR="00BA02B9" w:rsidTr="7A21D79B" w14:paraId="6E82A71D" w14:textId="77777777">
        <w:trPr>
          <w:trHeight w:val="297"/>
        </w:trPr>
        <w:tc>
          <w:tcPr>
            <w:tcW w:w="2100" w:type="dxa"/>
            <w:shd w:val="clear" w:color="auto" w:fill="000000" w:themeFill="text1"/>
            <w:tcMar/>
            <w:vAlign w:val="center"/>
          </w:tcPr>
          <w:p w:rsidRPr="00D83AA3" w:rsidR="00BA02B9" w:rsidP="00BA45DC" w:rsidRDefault="00BA02B9" w14:paraId="44D55E81" w14:textId="667B89F8">
            <w:pPr>
              <w:jc w:val="center"/>
              <w:rPr>
                <w:rFonts w:ascii="Twinkl" w:hAnsi="Twinkl"/>
                <w:b/>
              </w:rPr>
            </w:pPr>
            <w:r w:rsidRPr="00D83AA3">
              <w:rPr>
                <w:rFonts w:ascii="Twinkl" w:hAnsi="Twinkl"/>
                <w:b/>
              </w:rPr>
              <w:t>Intent</w:t>
            </w:r>
          </w:p>
        </w:tc>
        <w:tc>
          <w:tcPr>
            <w:tcW w:w="3811" w:type="dxa"/>
            <w:vMerge w:val="restart"/>
            <w:tcMar/>
            <w:vAlign w:val="center"/>
          </w:tcPr>
          <w:p w:rsidRPr="00D83AA3" w:rsidR="00441EB1" w:rsidP="00441EB1" w:rsidRDefault="00441EB1" w14:paraId="16982EF0" w14:textId="77777777">
            <w:pPr>
              <w:rPr>
                <w:rFonts w:ascii="Twinkl" w:hAnsi="Twinkl" w:cstheme="minorHAnsi"/>
                <w:b/>
                <w:bCs/>
                <w:sz w:val="20"/>
                <w:szCs w:val="20"/>
              </w:rPr>
            </w:pPr>
            <w:r w:rsidRPr="00D83AA3">
              <w:rPr>
                <w:rFonts w:ascii="Twinkl" w:hAnsi="Twinkl" w:cstheme="minorHAnsi"/>
                <w:b/>
                <w:bCs/>
                <w:sz w:val="20"/>
                <w:szCs w:val="20"/>
              </w:rPr>
              <w:t>Listening and Speaking</w:t>
            </w:r>
          </w:p>
          <w:p w:rsidRPr="00D83AA3" w:rsidR="00380FED" w:rsidP="00380FED" w:rsidRDefault="00441EB1" w14:paraId="674D7830" w14:textId="1B2767A1">
            <w:pPr>
              <w:autoSpaceDE w:val="0"/>
              <w:autoSpaceDN w:val="0"/>
              <w:adjustRightInd w:val="0"/>
              <w:rPr>
                <w:rFonts w:ascii="Twinkl" w:hAnsi="Twinkl" w:cstheme="minorHAnsi"/>
                <w:b/>
                <w:bCs/>
                <w:sz w:val="20"/>
                <w:szCs w:val="20"/>
              </w:rPr>
            </w:pPr>
            <w:r w:rsidRPr="00D83AA3">
              <w:rPr>
                <w:rFonts w:ascii="Twinkl" w:hAnsi="Twinkl" w:cstheme="minorHAnsi"/>
                <w:b/>
                <w:bCs/>
                <w:sz w:val="20"/>
                <w:szCs w:val="20"/>
              </w:rPr>
              <w:t xml:space="preserve">In addition to working further on objectives from </w:t>
            </w:r>
            <w:r w:rsidRPr="00D83AA3" w:rsidR="00380FED">
              <w:rPr>
                <w:rFonts w:ascii="Twinkl" w:hAnsi="Twinkl" w:cstheme="minorHAnsi"/>
                <w:b/>
                <w:bCs/>
                <w:sz w:val="20"/>
                <w:szCs w:val="20"/>
              </w:rPr>
              <w:t>KS2</w:t>
            </w:r>
          </w:p>
          <w:p w:rsidRPr="00D83AA3" w:rsidR="00441EB1" w:rsidP="00441EB1" w:rsidRDefault="00441EB1" w14:paraId="2208C2D3" w14:textId="5200B294">
            <w:pPr>
              <w:autoSpaceDE w:val="0"/>
              <w:autoSpaceDN w:val="0"/>
              <w:adjustRightInd w:val="0"/>
              <w:rPr>
                <w:rFonts w:ascii="Twinkl" w:hAnsi="Twinkl" w:cstheme="minorHAnsi"/>
                <w:b/>
                <w:bCs/>
                <w:sz w:val="20"/>
                <w:szCs w:val="20"/>
              </w:rPr>
            </w:pPr>
            <w:r w:rsidRPr="00D83AA3">
              <w:rPr>
                <w:rFonts w:ascii="Twinkl" w:hAnsi="Twinkl" w:cstheme="minorHAnsi"/>
                <w:b/>
                <w:bCs/>
                <w:sz w:val="20"/>
                <w:szCs w:val="20"/>
              </w:rPr>
              <w:t>pupils should be taught:</w:t>
            </w:r>
          </w:p>
          <w:p w:rsidRPr="00D83AA3" w:rsidR="00CB3DD7" w:rsidP="003A6607" w:rsidRDefault="00CB3DD7" w14:paraId="0619811C" w14:textId="140D90B0">
            <w:pPr>
              <w:numPr>
                <w:ilvl w:val="0"/>
                <w:numId w:val="3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engage with the sound patterns and</w:t>
            </w:r>
            <w:r w:rsidR="00575AA4">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other characteristics of the spoken language</w:t>
            </w:r>
          </w:p>
          <w:p w:rsidRPr="00D83AA3" w:rsidR="00CB3DD7" w:rsidP="00CB3DD7" w:rsidRDefault="00CB3DD7" w14:paraId="1B7ABA55" w14:textId="77777777">
            <w:pPr>
              <w:numPr>
                <w:ilvl w:val="0"/>
                <w:numId w:val="3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improve their capacity to follow speech of different kinds and in different contexts</w:t>
            </w:r>
          </w:p>
          <w:p w:rsidRPr="00D83AA3" w:rsidR="00CB3DD7" w:rsidP="003A6607" w:rsidRDefault="00CB3DD7" w14:paraId="323E0559" w14:textId="6DEF78D9">
            <w:pPr>
              <w:numPr>
                <w:ilvl w:val="0"/>
                <w:numId w:val="3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To identify gist and some detail in continuous</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spoken passages about specific contexts</w:t>
            </w:r>
          </w:p>
          <w:p w:rsidRPr="00D83AA3" w:rsidR="00CB3DD7" w:rsidP="003A6607" w:rsidRDefault="00CB3DD7" w14:paraId="4BE0A043" w14:textId="38E1C517">
            <w:pPr>
              <w:numPr>
                <w:ilvl w:val="0"/>
                <w:numId w:val="3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respond to face-to-face instructions,</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questions and explanations</w:t>
            </w:r>
          </w:p>
          <w:p w:rsidRPr="00D83AA3" w:rsidR="00CB3DD7" w:rsidP="00CB3DD7" w:rsidRDefault="00CB3DD7" w14:paraId="03710E13" w14:textId="77777777">
            <w:pPr>
              <w:numPr>
                <w:ilvl w:val="0"/>
                <w:numId w:val="3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contribute to spontaneous talk in the target language</w:t>
            </w:r>
          </w:p>
          <w:p w:rsidRPr="00D83AA3" w:rsidR="008A0298" w:rsidP="003A6607" w:rsidRDefault="00CB3DD7" w14:paraId="0D7C8F46" w14:textId="26CC03A3">
            <w:pPr>
              <w:numPr>
                <w:ilvl w:val="0"/>
                <w:numId w:val="3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evaluate and improve the quality and</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fluency of what they say</w:t>
            </w:r>
          </w:p>
        </w:tc>
        <w:tc>
          <w:tcPr>
            <w:tcW w:w="5141" w:type="dxa"/>
            <w:vMerge w:val="restart"/>
            <w:tcMar/>
          </w:tcPr>
          <w:p w:rsidRPr="00D83AA3" w:rsidR="008A0298" w:rsidP="008A0298" w:rsidRDefault="008A0298" w14:paraId="43527B7C" w14:textId="5DCC3A23">
            <w:pPr>
              <w:autoSpaceDE w:val="0"/>
              <w:autoSpaceDN w:val="0"/>
              <w:adjustRightInd w:val="0"/>
              <w:rPr>
                <w:rFonts w:ascii="Twinkl" w:hAnsi="Twinkl" w:cstheme="minorHAnsi"/>
                <w:b/>
                <w:bCs/>
                <w:sz w:val="20"/>
                <w:szCs w:val="20"/>
              </w:rPr>
            </w:pPr>
            <w:r w:rsidRPr="00D83AA3">
              <w:rPr>
                <w:rFonts w:ascii="Twinkl" w:hAnsi="Twinkl" w:cstheme="minorHAnsi"/>
                <w:b/>
                <w:bCs/>
                <w:sz w:val="20"/>
                <w:szCs w:val="20"/>
              </w:rPr>
              <w:t>Reading and Writing</w:t>
            </w:r>
          </w:p>
          <w:p w:rsidRPr="00D83AA3" w:rsidR="008A0298" w:rsidP="008A0298" w:rsidRDefault="008A0298" w14:paraId="4E5824C7" w14:textId="2D269EFD">
            <w:pPr>
              <w:autoSpaceDE w:val="0"/>
              <w:autoSpaceDN w:val="0"/>
              <w:adjustRightInd w:val="0"/>
              <w:rPr>
                <w:rFonts w:ascii="Twinkl" w:hAnsi="Twinkl" w:cstheme="minorHAnsi"/>
                <w:b/>
                <w:bCs/>
                <w:sz w:val="20"/>
                <w:szCs w:val="20"/>
              </w:rPr>
            </w:pPr>
            <w:r w:rsidRPr="00D83AA3">
              <w:rPr>
                <w:rFonts w:ascii="Twinkl" w:hAnsi="Twinkl" w:cstheme="minorHAnsi"/>
                <w:b/>
                <w:bCs/>
                <w:sz w:val="20"/>
                <w:szCs w:val="20"/>
              </w:rPr>
              <w:t xml:space="preserve">In addition to working further on objectives from </w:t>
            </w:r>
            <w:r w:rsidRPr="00D83AA3" w:rsidR="00380FED">
              <w:rPr>
                <w:rFonts w:ascii="Twinkl" w:hAnsi="Twinkl" w:cstheme="minorHAnsi"/>
                <w:b/>
                <w:bCs/>
                <w:sz w:val="20"/>
                <w:szCs w:val="20"/>
              </w:rPr>
              <w:t>KS2</w:t>
            </w:r>
            <w:r w:rsidRPr="00D83AA3">
              <w:rPr>
                <w:rFonts w:ascii="Twinkl" w:hAnsi="Twinkl" w:cstheme="minorHAnsi"/>
                <w:b/>
                <w:bCs/>
                <w:sz w:val="20"/>
                <w:szCs w:val="20"/>
              </w:rPr>
              <w:t xml:space="preserve"> pupils should be taught:</w:t>
            </w:r>
          </w:p>
          <w:p w:rsidRPr="00D83AA3" w:rsidR="00CB3DD7" w:rsidP="003A6607" w:rsidRDefault="00CB3DD7" w14:paraId="6AFEACB0" w14:textId="47480863">
            <w:pPr>
              <w:numPr>
                <w:ilvl w:val="0"/>
                <w:numId w:val="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read and understand simple texts using</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cues in language, layout and context to aid</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understanding</w:t>
            </w:r>
          </w:p>
          <w:p w:rsidRPr="00D83AA3" w:rsidR="00CB3DD7" w:rsidP="003A6607" w:rsidRDefault="00CB3DD7" w14:paraId="3DA8DABA" w14:textId="41116B3E">
            <w:pPr>
              <w:numPr>
                <w:ilvl w:val="0"/>
                <w:numId w:val="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read aloud a simple written text,</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attempting authentic pronunciation and some</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expression with regard to content</w:t>
            </w:r>
          </w:p>
          <w:p w:rsidRPr="00D83AA3" w:rsidR="00CB3DD7" w:rsidP="003A6607" w:rsidRDefault="00CB3DD7" w14:paraId="47941396" w14:textId="6825FA7E">
            <w:pPr>
              <w:numPr>
                <w:ilvl w:val="0"/>
                <w:numId w:val="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assess simple texts for gist, purpose,</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intended audience and degree of difficulty as a</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preliminary to reading</w:t>
            </w:r>
          </w:p>
          <w:p w:rsidRPr="00D83AA3" w:rsidR="00CB3DD7" w:rsidP="003A6607" w:rsidRDefault="00CB3DD7" w14:paraId="6ABBFA80" w14:textId="39523659">
            <w:pPr>
              <w:numPr>
                <w:ilvl w:val="0"/>
                <w:numId w:val="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use a dictionary and other resources</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appropriately when working on text</w:t>
            </w:r>
          </w:p>
          <w:p w:rsidRPr="00D83AA3" w:rsidR="00CB3DD7" w:rsidP="003A6607" w:rsidRDefault="00CB3DD7" w14:paraId="5720B335" w14:textId="2B895BE2">
            <w:pPr>
              <w:numPr>
                <w:ilvl w:val="0"/>
                <w:numId w:val="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assemble a short text using familiar</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sentence structure and known vocabulary</w:t>
            </w:r>
          </w:p>
          <w:p w:rsidRPr="00D83AA3" w:rsidR="00CB3DD7" w:rsidP="003A6607" w:rsidRDefault="00CB3DD7" w14:paraId="25EC2258" w14:textId="38F521AD">
            <w:pPr>
              <w:numPr>
                <w:ilvl w:val="0"/>
                <w:numId w:val="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use simple texts as models or prompts</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for their own writing</w:t>
            </w:r>
          </w:p>
          <w:p w:rsidRPr="00D83AA3" w:rsidR="007B5C99" w:rsidP="007B5C99" w:rsidRDefault="00CB3DD7" w14:paraId="489746C4" w14:textId="29FD11D1">
            <w:pPr>
              <w:numPr>
                <w:ilvl w:val="0"/>
                <w:numId w:val="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evaluate and improve the quality of their written wor</w:t>
            </w:r>
            <w:r w:rsidRPr="00D83AA3" w:rsidR="007B5C99">
              <w:rPr>
                <w:rFonts w:ascii="Twinkl" w:hAnsi="Twinkl" w:eastAsia="Times New Roman" w:cs="Calibri"/>
                <w:color w:val="000000"/>
                <w:sz w:val="20"/>
                <w:szCs w:val="20"/>
                <w:bdr w:val="none" w:color="auto" w:sz="0" w:space="0" w:frame="1"/>
                <w:lang w:val="en-GB" w:eastAsia="fr-FR"/>
              </w:rPr>
              <w:t>k</w:t>
            </w:r>
          </w:p>
        </w:tc>
      </w:tr>
      <w:tr w:rsidRPr="00D83AA3" w:rsidR="00BA02B9" w:rsidTr="7A21D79B" w14:paraId="27CAE940" w14:textId="77777777">
        <w:trPr>
          <w:trHeight w:val="5095"/>
        </w:trPr>
        <w:tc>
          <w:tcPr>
            <w:tcW w:w="2100" w:type="dxa"/>
            <w:shd w:val="clear" w:color="auto" w:fill="D0CECE" w:themeFill="background2" w:themeFillShade="E6"/>
            <w:tcMar/>
            <w:vAlign w:val="center"/>
          </w:tcPr>
          <w:p w:rsidRPr="00D83AA3" w:rsidR="00BA02B9" w:rsidP="00BA45DC" w:rsidRDefault="00BA02B9" w14:paraId="54C6F2B5" w14:textId="2C7226EB">
            <w:pPr>
              <w:jc w:val="center"/>
              <w:rPr>
                <w:rFonts w:ascii="Twinkl" w:hAnsi="Twinkl"/>
                <w:b/>
              </w:rPr>
            </w:pPr>
            <w:r w:rsidRPr="00D83AA3">
              <w:rPr>
                <w:rFonts w:ascii="Twinkl" w:hAnsi="Twinkl"/>
                <w:b/>
              </w:rPr>
              <w:t>Skills (Linguistic Competence &amp; National Curriculum Links)</w:t>
            </w:r>
          </w:p>
        </w:tc>
        <w:tc>
          <w:tcPr>
            <w:tcW w:w="3811" w:type="dxa"/>
            <w:vMerge/>
            <w:tcMar/>
            <w:vAlign w:val="center"/>
          </w:tcPr>
          <w:p w:rsidRPr="00D83AA3" w:rsidR="00BA02B9" w:rsidP="00BA45DC" w:rsidRDefault="00BA02B9" w14:paraId="6F59E4F0" w14:textId="77777777">
            <w:pPr>
              <w:autoSpaceDE w:val="0"/>
              <w:autoSpaceDN w:val="0"/>
              <w:adjustRightInd w:val="0"/>
              <w:rPr>
                <w:rFonts w:ascii="Twinkl" w:hAnsi="Twinkl" w:cstheme="minorHAnsi"/>
                <w:b/>
                <w:bCs/>
                <w:sz w:val="20"/>
                <w:szCs w:val="20"/>
              </w:rPr>
            </w:pPr>
          </w:p>
        </w:tc>
        <w:tc>
          <w:tcPr>
            <w:tcW w:w="5141" w:type="dxa"/>
            <w:vMerge/>
            <w:tcMar/>
          </w:tcPr>
          <w:p w:rsidRPr="00D83AA3" w:rsidR="00BA02B9" w:rsidP="00BA45DC" w:rsidRDefault="00BA02B9" w14:paraId="66B0CD90" w14:textId="77777777">
            <w:pPr>
              <w:autoSpaceDE w:val="0"/>
              <w:autoSpaceDN w:val="0"/>
              <w:adjustRightInd w:val="0"/>
              <w:rPr>
                <w:rFonts w:ascii="Twinkl" w:hAnsi="Twinkl" w:cstheme="minorHAnsi"/>
                <w:b/>
                <w:bCs/>
                <w:sz w:val="20"/>
                <w:szCs w:val="20"/>
              </w:rPr>
            </w:pPr>
          </w:p>
        </w:tc>
      </w:tr>
      <w:tr w:rsidRPr="00D83AA3" w:rsidR="00665355" w:rsidTr="7A21D79B" w14:paraId="71CE3CD1" w14:textId="77777777">
        <w:trPr>
          <w:trHeight w:val="334"/>
        </w:trPr>
        <w:tc>
          <w:tcPr>
            <w:tcW w:w="2100" w:type="dxa"/>
            <w:shd w:val="clear" w:color="auto" w:fill="D0CECE" w:themeFill="background2" w:themeFillShade="E6"/>
            <w:tcMar/>
            <w:vAlign w:val="center"/>
          </w:tcPr>
          <w:p w:rsidRPr="00D83AA3" w:rsidR="00665355" w:rsidP="00BA45DC" w:rsidRDefault="00665355" w14:paraId="22BBF83D" w14:textId="6EA4342A">
            <w:pPr>
              <w:jc w:val="center"/>
              <w:rPr>
                <w:rFonts w:ascii="Twinkl" w:hAnsi="Twinkl"/>
                <w:b/>
                <w:sz w:val="28"/>
                <w:szCs w:val="28"/>
              </w:rPr>
            </w:pPr>
            <w:r w:rsidRPr="00D83AA3">
              <w:rPr>
                <w:rFonts w:ascii="Twinkl" w:hAnsi="Twinkl"/>
                <w:b/>
              </w:rPr>
              <w:t>Cross Curricular Links</w:t>
            </w:r>
          </w:p>
        </w:tc>
        <w:tc>
          <w:tcPr>
            <w:tcW w:w="8952" w:type="dxa"/>
            <w:gridSpan w:val="2"/>
            <w:tcMar/>
            <w:vAlign w:val="center"/>
          </w:tcPr>
          <w:p w:rsidRPr="00D83AA3" w:rsidR="00CF3C21" w:rsidP="00CF3C21" w:rsidRDefault="00665355" w14:paraId="61103EE9" w14:textId="1D77505F">
            <w:pPr>
              <w:autoSpaceDE w:val="0"/>
              <w:autoSpaceDN w:val="0"/>
              <w:adjustRightInd w:val="0"/>
              <w:rPr>
                <w:rFonts w:ascii="Twinkl" w:hAnsi="Twinkl" w:cs="Calibri"/>
                <w:sz w:val="21"/>
                <w:szCs w:val="21"/>
                <w:lang w:val="en-GB"/>
              </w:rPr>
            </w:pPr>
            <w:r w:rsidRPr="7A21D79B" w:rsidR="00665355">
              <w:rPr>
                <w:rFonts w:ascii="Twinkl" w:hAnsi="Twinkl"/>
                <w:b w:val="1"/>
                <w:bCs w:val="1"/>
                <w:sz w:val="20"/>
                <w:szCs w:val="20"/>
              </w:rPr>
              <w:t xml:space="preserve">SMSC: </w:t>
            </w:r>
            <w:r w:rsidRPr="7A21D79B" w:rsidR="00665355">
              <w:rPr>
                <w:rFonts w:ascii="Twinkl" w:hAnsi="Twinkl" w:cs="Calibri"/>
                <w:sz w:val="20"/>
                <w:szCs w:val="20"/>
                <w:lang w:val="en-GB"/>
              </w:rPr>
              <w:t>Learning how to express yourself and respec</w:t>
            </w:r>
            <w:r w:rsidRPr="7A21D79B" w:rsidR="00AB18B5">
              <w:rPr>
                <w:rFonts w:ascii="Twinkl" w:hAnsi="Twinkl" w:cs="Calibri"/>
                <w:sz w:val="20"/>
                <w:szCs w:val="20"/>
                <w:lang w:val="en-GB"/>
              </w:rPr>
              <w:t>t other people’s views/ culture</w:t>
            </w:r>
            <w:r w:rsidRPr="7A21D79B" w:rsidR="00326025">
              <w:rPr>
                <w:rFonts w:ascii="Twinkl" w:hAnsi="Twinkl" w:cs="Calibri"/>
                <w:sz w:val="20"/>
                <w:szCs w:val="20"/>
                <w:lang w:val="en-GB"/>
              </w:rPr>
              <w:t>.</w:t>
            </w:r>
          </w:p>
          <w:p w:rsidR="2F50CD14" w:rsidP="7A21D79B" w:rsidRDefault="2F50CD14" w14:paraId="426B12E0" w14:textId="2F83C332">
            <w:pPr>
              <w:rPr>
                <w:rFonts w:ascii="Twinkl" w:hAnsi="Twinkl" w:cs="Calibri"/>
                <w:sz w:val="20"/>
                <w:szCs w:val="20"/>
                <w:lang w:val="en-GB"/>
              </w:rPr>
            </w:pPr>
            <w:r w:rsidRPr="7A21D79B" w:rsidR="2F50CD14">
              <w:rPr>
                <w:rFonts w:ascii="Twinkl" w:hAnsi="Twinkl" w:cs="Calibri"/>
                <w:sz w:val="20"/>
                <w:szCs w:val="20"/>
                <w:lang w:val="en-GB"/>
              </w:rPr>
              <w:t>3. Summer 1 – Week 29: Lesson 5–6</w:t>
            </w:r>
          </w:p>
          <w:p w:rsidR="2F50CD14" w:rsidP="7A21D79B" w:rsidRDefault="2F50CD14" w14:paraId="49F85006" w14:textId="7DAF759C">
            <w:pPr>
              <w:pStyle w:val="Normal"/>
            </w:pPr>
            <w:r w:rsidRPr="7A21D79B" w:rsidR="2F50CD14">
              <w:rPr>
                <w:rFonts w:ascii="Twinkl" w:hAnsi="Twinkl" w:cs="Calibri"/>
                <w:sz w:val="20"/>
                <w:szCs w:val="20"/>
                <w:lang w:val="en-GB"/>
              </w:rPr>
              <w:t>Topic: Describing where you live using “estar” and opinions</w:t>
            </w:r>
          </w:p>
          <w:p w:rsidR="2F50CD14" w:rsidP="7A21D79B" w:rsidRDefault="2F50CD14" w14:paraId="776D73FF" w14:textId="0183B728">
            <w:pPr>
              <w:pStyle w:val="Normal"/>
            </w:pPr>
            <w:r w:rsidRPr="7A21D79B" w:rsidR="2F50CD14">
              <w:rPr>
                <w:rFonts w:ascii="Twinkl" w:hAnsi="Twinkl" w:cs="Calibri"/>
                <w:sz w:val="20"/>
                <w:szCs w:val="20"/>
                <w:lang w:val="en-GB"/>
              </w:rPr>
              <w:t>Describing your environment can link to a sense of place, belonging, and gratitude.</w:t>
            </w:r>
          </w:p>
          <w:p w:rsidR="2F50CD14" w:rsidP="7A21D79B" w:rsidRDefault="2F50CD14" w14:paraId="1ABF6941" w14:textId="4DFA4C61">
            <w:pPr>
              <w:pStyle w:val="Normal"/>
            </w:pPr>
            <w:r w:rsidRPr="7A21D79B" w:rsidR="2F50CD14">
              <w:rPr>
                <w:rFonts w:ascii="Twinkl" w:hAnsi="Twinkl" w:cs="Calibri"/>
                <w:sz w:val="20"/>
                <w:szCs w:val="20"/>
                <w:lang w:val="en-GB"/>
              </w:rPr>
              <w:t>Students could reflect on the importance of their home or how environment affects wellbeing.</w:t>
            </w:r>
          </w:p>
          <w:p w:rsidR="2F50CD14" w:rsidP="7A21D79B" w:rsidRDefault="2F50CD14" w14:paraId="28FFD0FD" w14:textId="6E283DBD">
            <w:pPr>
              <w:pStyle w:val="Normal"/>
            </w:pPr>
            <w:r w:rsidRPr="7A21D79B" w:rsidR="2F50CD14">
              <w:rPr>
                <w:rFonts w:ascii="Twinkl" w:hAnsi="Twinkl" w:cs="Calibri"/>
                <w:sz w:val="20"/>
                <w:szCs w:val="20"/>
                <w:lang w:val="en-GB"/>
              </w:rPr>
              <w:t xml:space="preserve"> Spiritual link: Fosters a sense of belonging and emotional connection to surroundings.</w:t>
            </w:r>
          </w:p>
          <w:p w:rsidR="7A21D79B" w:rsidP="7A21D79B" w:rsidRDefault="7A21D79B" w14:paraId="1FE55C37" w14:textId="4AA88E89">
            <w:pPr>
              <w:rPr>
                <w:rFonts w:ascii="Twinkl" w:hAnsi="Twinkl" w:cs="Calibri"/>
                <w:sz w:val="20"/>
                <w:szCs w:val="20"/>
                <w:lang w:val="en-GB"/>
              </w:rPr>
            </w:pPr>
          </w:p>
          <w:p w:rsidRPr="00D83AA3" w:rsidR="00665355" w:rsidP="00BA45DC" w:rsidRDefault="00665355" w14:paraId="30B02054" w14:textId="6780A6C6">
            <w:pPr>
              <w:autoSpaceDE w:val="0"/>
              <w:autoSpaceDN w:val="0"/>
              <w:adjustRightInd w:val="0"/>
              <w:rPr>
                <w:rFonts w:ascii="Twinkl" w:hAnsi="Twinkl" w:cstheme="minorHAnsi"/>
                <w:sz w:val="20"/>
                <w:szCs w:val="20"/>
              </w:rPr>
            </w:pPr>
            <w:r w:rsidRPr="00D83AA3">
              <w:rPr>
                <w:rFonts w:ascii="Twinkl" w:hAnsi="Twinkl"/>
                <w:b/>
                <w:sz w:val="20"/>
                <w:szCs w:val="20"/>
              </w:rPr>
              <w:t xml:space="preserve">PSHE: </w:t>
            </w:r>
            <w:r w:rsidRPr="00D83AA3">
              <w:rPr>
                <w:rFonts w:ascii="Twinkl" w:hAnsi="Twinkl" w:eastAsia="Times New Roman" w:cs="Arial"/>
                <w:color w:val="000000"/>
                <w:sz w:val="20"/>
                <w:szCs w:val="20"/>
                <w:lang w:eastAsia="en-GB"/>
              </w:rPr>
              <w:t xml:space="preserve"> </w:t>
            </w:r>
            <w:r w:rsidRPr="00D83AA3">
              <w:rPr>
                <w:rFonts w:ascii="Twinkl" w:hAnsi="Twinkl" w:cstheme="minorHAnsi"/>
                <w:sz w:val="20"/>
                <w:szCs w:val="20"/>
              </w:rPr>
              <w:t xml:space="preserve">Use </w:t>
            </w:r>
            <w:r w:rsidRPr="00D83AA3" w:rsidR="00BA2B63">
              <w:rPr>
                <w:rFonts w:ascii="Twinkl" w:hAnsi="Twinkl" w:cstheme="minorHAnsi"/>
                <w:sz w:val="20"/>
                <w:szCs w:val="20"/>
              </w:rPr>
              <w:t>the media to find out about family life and greetings in Spain.</w:t>
            </w:r>
          </w:p>
          <w:p w:rsidRPr="00D83AA3" w:rsidR="00096068" w:rsidP="00E81B9F" w:rsidRDefault="00665355" w14:paraId="1E0960C4" w14:textId="761A29EF">
            <w:pPr>
              <w:autoSpaceDE w:val="0"/>
              <w:autoSpaceDN w:val="0"/>
              <w:adjustRightInd w:val="0"/>
              <w:rPr>
                <w:rFonts w:ascii="Twinkl" w:hAnsi="Twinkl" w:cstheme="minorHAnsi"/>
              </w:rPr>
            </w:pPr>
            <w:r w:rsidRPr="00D83AA3">
              <w:rPr>
                <w:rFonts w:ascii="Twinkl" w:hAnsi="Twinkl" w:cs="Arial"/>
                <w:b/>
                <w:sz w:val="20"/>
                <w:szCs w:val="20"/>
              </w:rPr>
              <w:t>Careers:</w:t>
            </w:r>
            <w:r w:rsidRPr="00D83AA3" w:rsidR="00D91FA6">
              <w:rPr>
                <w:rFonts w:ascii="Twinkl" w:hAnsi="Twinkl" w:cs="Arial"/>
                <w:b/>
                <w:sz w:val="20"/>
                <w:szCs w:val="20"/>
              </w:rPr>
              <w:t xml:space="preserve"> </w:t>
            </w:r>
            <w:r w:rsidRPr="00D83AA3">
              <w:rPr>
                <w:rFonts w:ascii="Twinkl" w:hAnsi="Twinkl" w:cs="Arial"/>
                <w:b/>
                <w:sz w:val="20"/>
                <w:szCs w:val="20"/>
              </w:rPr>
              <w:t xml:space="preserve"> </w:t>
            </w:r>
            <w:r w:rsidRPr="00D83AA3" w:rsidR="007319F8">
              <w:rPr>
                <w:rFonts w:ascii="Twinkl" w:hAnsi="Twinkl" w:cs="Arial"/>
                <w:bCs/>
                <w:sz w:val="20"/>
                <w:szCs w:val="20"/>
              </w:rPr>
              <w:t xml:space="preserve">Consider skills, qualities and interests to work in </w:t>
            </w:r>
            <w:r w:rsidR="005F52F8">
              <w:rPr>
                <w:rFonts w:ascii="Twinkl" w:hAnsi="Twinkl" w:cs="Arial"/>
                <w:bCs/>
                <w:sz w:val="20"/>
                <w:szCs w:val="20"/>
              </w:rPr>
              <w:t>jobs with MFL</w:t>
            </w:r>
            <w:r w:rsidRPr="00D83AA3" w:rsidR="00096068">
              <w:rPr>
                <w:rFonts w:ascii="Twinkl" w:hAnsi="Twinkl" w:cs="Arial"/>
                <w:bCs/>
                <w:sz w:val="20"/>
                <w:szCs w:val="20"/>
              </w:rPr>
              <w:t xml:space="preserve">; </w:t>
            </w:r>
            <w:r w:rsidRPr="00D83AA3" w:rsidR="00E81B9F">
              <w:rPr>
                <w:rFonts w:ascii="Twinkl" w:hAnsi="Twinkl" w:cs="Arial"/>
                <w:bCs/>
                <w:sz w:val="20"/>
                <w:szCs w:val="20"/>
              </w:rPr>
              <w:t>m</w:t>
            </w:r>
            <w:r w:rsidRPr="00D83AA3" w:rsidR="00096068">
              <w:rPr>
                <w:rFonts w:ascii="Twinkl" w:hAnsi="Twinkl" w:cstheme="minorHAnsi"/>
                <w:sz w:val="20"/>
                <w:szCs w:val="20"/>
              </w:rPr>
              <w:t xml:space="preserve">eet the work of some famous figures in </w:t>
            </w:r>
            <w:r w:rsidRPr="00D83AA3" w:rsidR="00F43155">
              <w:rPr>
                <w:rFonts w:ascii="Twinkl" w:hAnsi="Twinkl" w:cstheme="minorHAnsi"/>
                <w:sz w:val="20"/>
                <w:szCs w:val="20"/>
              </w:rPr>
              <w:t xml:space="preserve">this career </w:t>
            </w:r>
            <w:r w:rsidRPr="00D83AA3" w:rsidR="00096068">
              <w:rPr>
                <w:rFonts w:ascii="Twinkl" w:hAnsi="Twinkl" w:cstheme="minorHAnsi"/>
                <w:sz w:val="20"/>
                <w:szCs w:val="20"/>
              </w:rPr>
              <w:t>of the country</w:t>
            </w:r>
          </w:p>
          <w:p w:rsidRPr="00D83AA3" w:rsidR="00665355" w:rsidP="00BA45DC" w:rsidRDefault="00665355" w14:paraId="5A90F3DC" w14:textId="353AE426">
            <w:pPr>
              <w:autoSpaceDE w:val="0"/>
              <w:autoSpaceDN w:val="0"/>
              <w:adjustRightInd w:val="0"/>
              <w:rPr>
                <w:rFonts w:ascii="Twinkl" w:hAnsi="Twinkl" w:cs="Arial"/>
                <w:b/>
                <w:sz w:val="20"/>
                <w:szCs w:val="20"/>
              </w:rPr>
            </w:pPr>
            <w:r w:rsidRPr="00D83AA3">
              <w:rPr>
                <w:rFonts w:ascii="Twinkl" w:hAnsi="Twinkl" w:cs="Arial"/>
                <w:b/>
                <w:sz w:val="20"/>
                <w:szCs w:val="20"/>
              </w:rPr>
              <w:t xml:space="preserve">Literacy: </w:t>
            </w:r>
            <w:r w:rsidRPr="00D83AA3">
              <w:rPr>
                <w:rFonts w:ascii="Twinkl" w:hAnsi="Twinkl"/>
                <w:color w:val="000000"/>
                <w:sz w:val="20"/>
                <w:szCs w:val="20"/>
              </w:rPr>
              <w:t>Use of grammatical terms when teaching and explaining grammar in relation to the English equivalents</w:t>
            </w:r>
            <w:r w:rsidRPr="00D83AA3" w:rsidR="00AB18B5">
              <w:rPr>
                <w:rFonts w:ascii="Twinkl" w:hAnsi="Twinkl"/>
                <w:color w:val="000000"/>
                <w:sz w:val="20"/>
                <w:szCs w:val="20"/>
              </w:rPr>
              <w:t>.</w:t>
            </w:r>
            <w:r w:rsidRPr="00D83AA3">
              <w:rPr>
                <w:rFonts w:ascii="Twinkl" w:hAnsi="Twinkl"/>
                <w:color w:val="000000"/>
                <w:sz w:val="20"/>
                <w:szCs w:val="20"/>
              </w:rPr>
              <w:t xml:space="preserve"> Use of cognates and etymology to build knowledge </w:t>
            </w:r>
            <w:r w:rsidRPr="00D83AA3" w:rsidR="009E5086">
              <w:rPr>
                <w:rFonts w:ascii="Twinkl" w:hAnsi="Twinkl"/>
                <w:color w:val="000000"/>
                <w:sz w:val="20"/>
                <w:szCs w:val="20"/>
              </w:rPr>
              <w:t>of English Knowledge organisers/</w:t>
            </w:r>
            <w:r w:rsidRPr="00D83AA3">
              <w:rPr>
                <w:rFonts w:ascii="Twinkl" w:hAnsi="Twinkl"/>
                <w:color w:val="000000"/>
                <w:sz w:val="20"/>
                <w:szCs w:val="20"/>
              </w:rPr>
              <w:t>sentence builders improve awareness of sentence formation</w:t>
            </w:r>
            <w:r w:rsidRPr="00D83AA3" w:rsidR="009E5086">
              <w:rPr>
                <w:rFonts w:ascii="Twinkl" w:hAnsi="Twinkl"/>
                <w:color w:val="000000"/>
                <w:sz w:val="20"/>
                <w:szCs w:val="20"/>
              </w:rPr>
              <w:t>.</w:t>
            </w:r>
          </w:p>
          <w:p w:rsidRPr="00D83AA3" w:rsidR="007041FD" w:rsidP="00BA45DC" w:rsidRDefault="00665355" w14:paraId="46F64BFE" w14:textId="17FB9D76">
            <w:pPr>
              <w:autoSpaceDE w:val="0"/>
              <w:autoSpaceDN w:val="0"/>
              <w:adjustRightInd w:val="0"/>
              <w:rPr>
                <w:rFonts w:ascii="Twinkl" w:hAnsi="Twinkl" w:cs="Arial"/>
                <w:bCs/>
                <w:sz w:val="20"/>
                <w:szCs w:val="20"/>
              </w:rPr>
            </w:pPr>
            <w:r w:rsidRPr="00D83AA3">
              <w:rPr>
                <w:rFonts w:ascii="Twinkl" w:hAnsi="Twinkl" w:cs="Arial"/>
                <w:b/>
                <w:sz w:val="20"/>
                <w:szCs w:val="20"/>
              </w:rPr>
              <w:t xml:space="preserve">Numeracy: </w:t>
            </w:r>
            <w:r w:rsidRPr="00D83AA3" w:rsidR="009E5086">
              <w:rPr>
                <w:rFonts w:ascii="Twinkl" w:hAnsi="Twinkl" w:cs="Arial"/>
                <w:sz w:val="20"/>
                <w:szCs w:val="20"/>
              </w:rPr>
              <w:t>Numbers</w:t>
            </w:r>
            <w:r w:rsidRPr="00D83AA3" w:rsidR="0059398E">
              <w:rPr>
                <w:rFonts w:ascii="Twinkl" w:hAnsi="Twinkl" w:cs="Arial"/>
                <w:sz w:val="20"/>
                <w:szCs w:val="20"/>
              </w:rPr>
              <w:t xml:space="preserve"> and dates</w:t>
            </w:r>
          </w:p>
        </w:tc>
      </w:tr>
      <w:tr w:rsidRPr="00D83AA3" w:rsidR="002D5DFE" w:rsidTr="7A21D79B" w14:paraId="55B110B1" w14:textId="77777777">
        <w:trPr>
          <w:trHeight w:val="334"/>
        </w:trPr>
        <w:tc>
          <w:tcPr>
            <w:tcW w:w="2100" w:type="dxa"/>
            <w:shd w:val="clear" w:color="auto" w:fill="D0CECE" w:themeFill="background2" w:themeFillShade="E6"/>
            <w:tcMar/>
            <w:vAlign w:val="center"/>
          </w:tcPr>
          <w:p w:rsidRPr="00D83AA3" w:rsidR="002D5DFE" w:rsidP="00BA45DC" w:rsidRDefault="002D5DFE" w14:paraId="7B153C6B" w14:textId="3747AA48">
            <w:pPr>
              <w:jc w:val="center"/>
              <w:rPr>
                <w:rFonts w:ascii="Twinkl" w:hAnsi="Twinkl"/>
                <w:b/>
              </w:rPr>
            </w:pPr>
            <w:r w:rsidRPr="00D83AA3">
              <w:rPr>
                <w:rFonts w:ascii="Twinkl" w:hAnsi="Twinkl"/>
                <w:b/>
              </w:rPr>
              <w:t>Becoming future ready</w:t>
            </w:r>
          </w:p>
        </w:tc>
        <w:tc>
          <w:tcPr>
            <w:tcW w:w="8952" w:type="dxa"/>
            <w:gridSpan w:val="2"/>
            <w:tcMar/>
            <w:vAlign w:val="center"/>
          </w:tcPr>
          <w:p w:rsidRPr="00D83AA3" w:rsidR="002D5DFE" w:rsidP="002D5DFE" w:rsidRDefault="002D5DFE" w14:paraId="1BC212F1" w14:textId="3A252BD0">
            <w:pPr>
              <w:rPr>
                <w:rFonts w:ascii="Twinkl" w:hAnsi="Twinkl" w:eastAsia="Times New Roman" w:cstheme="minorHAnsi"/>
                <w:color w:val="000000"/>
                <w:lang w:val="en-GB" w:eastAsia="en-GB"/>
              </w:rPr>
            </w:pPr>
            <w:r w:rsidRPr="00D83AA3">
              <w:rPr>
                <w:rFonts w:ascii="Twinkl" w:hAnsi="Twinkl" w:eastAsia="Times New Roman" w:cstheme="minorHAnsi"/>
                <w:b/>
                <w:bCs/>
                <w:color w:val="444444"/>
                <w:sz w:val="20"/>
                <w:szCs w:val="20"/>
                <w:bdr w:val="none" w:color="auto" w:sz="0" w:space="0" w:frame="1"/>
                <w:lang w:val="en-GB" w:eastAsia="en-GB"/>
              </w:rPr>
              <w:t>Personal Skills:</w:t>
            </w:r>
            <w:r w:rsidRPr="00D83AA3">
              <w:rPr>
                <w:rFonts w:ascii="Twinkl" w:hAnsi="Twinkl" w:eastAsia="Times New Roman" w:cstheme="minorHAnsi"/>
                <w:color w:val="444444"/>
                <w:sz w:val="20"/>
                <w:szCs w:val="20"/>
                <w:bdr w:val="none" w:color="auto" w:sz="0" w:space="0" w:frame="1"/>
                <w:lang w:val="en-GB" w:eastAsia="en-GB"/>
              </w:rPr>
              <w:t> People with language skills and knowledge are highly thought of in the modern world. They stand out as talented and successful people, with broad and exciting horizons. Learning a language means you add an extra dimension to your personal skills profile:  a language GCSE on your CV impresses employers; it shows you have developed an excellent range of communication and thinking skills; your ability to analyse and interpret information will be stronger and your knowledge and application of the grammar of English is often enhanced.  </w:t>
            </w:r>
          </w:p>
          <w:p w:rsidRPr="00D83AA3" w:rsidR="002D5DFE" w:rsidP="002D5DFE" w:rsidRDefault="002D5DFE" w14:paraId="78BBBF91" w14:textId="081B558E">
            <w:pPr>
              <w:rPr>
                <w:rFonts w:ascii="Twinkl" w:hAnsi="Twinkl" w:eastAsia="Times New Roman" w:cs="Calibri"/>
                <w:color w:val="000000"/>
                <w:lang w:val="en-GB" w:eastAsia="en-GB"/>
              </w:rPr>
            </w:pPr>
            <w:r w:rsidRPr="00D83AA3">
              <w:rPr>
                <w:rFonts w:ascii="Twinkl" w:hAnsi="Twinkl" w:eastAsia="Times New Roman" w:cstheme="minorHAnsi"/>
                <w:b/>
                <w:bCs/>
                <w:color w:val="444444"/>
                <w:sz w:val="20"/>
                <w:szCs w:val="20"/>
                <w:bdr w:val="none" w:color="auto" w:sz="0" w:space="0" w:frame="1"/>
                <w:lang w:val="en-GB" w:eastAsia="en-GB"/>
              </w:rPr>
              <w:t>Employability:</w:t>
            </w:r>
            <w:r w:rsidRPr="00D83AA3">
              <w:rPr>
                <w:rFonts w:ascii="Twinkl" w:hAnsi="Twinkl" w:eastAsia="Times New Roman" w:cstheme="minorHAnsi"/>
                <w:color w:val="444444"/>
                <w:sz w:val="20"/>
                <w:szCs w:val="20"/>
                <w:bdr w:val="none" w:color="auto" w:sz="0" w:space="0" w:frame="1"/>
                <w:lang w:val="en-GB" w:eastAsia="en-GB"/>
              </w:rPr>
              <w:t> You will be in a stronger position to find work with companies abroad or for companies in the UK with international links</w:t>
            </w:r>
          </w:p>
        </w:tc>
      </w:tr>
      <w:tr w:rsidRPr="00D83AA3" w:rsidR="00BA02B9" w:rsidTr="7A21D79B" w14:paraId="4D45A554" w14:textId="77777777">
        <w:trPr>
          <w:trHeight w:val="261"/>
        </w:trPr>
        <w:tc>
          <w:tcPr>
            <w:tcW w:w="2100" w:type="dxa"/>
            <w:shd w:val="clear" w:color="auto" w:fill="000000" w:themeFill="text1"/>
            <w:tcMar/>
            <w:vAlign w:val="center"/>
          </w:tcPr>
          <w:p w:rsidRPr="00D83AA3" w:rsidR="00BA02B9" w:rsidP="00BA45DC" w:rsidRDefault="000F44BB" w14:paraId="0CD4730C" w14:textId="333CD323">
            <w:pPr>
              <w:jc w:val="center"/>
              <w:rPr>
                <w:rFonts w:ascii="Twinkl" w:hAnsi="Twinkl"/>
                <w:b/>
                <w:sz w:val="22"/>
                <w:szCs w:val="22"/>
              </w:rPr>
            </w:pPr>
            <w:r w:rsidRPr="00D83AA3">
              <w:rPr>
                <w:rFonts w:ascii="Twinkl" w:hAnsi="Twinkl"/>
                <w:b/>
                <w:sz w:val="22"/>
                <w:szCs w:val="22"/>
              </w:rPr>
              <w:t>Differentiation</w:t>
            </w:r>
          </w:p>
        </w:tc>
        <w:tc>
          <w:tcPr>
            <w:tcW w:w="8952" w:type="dxa"/>
            <w:gridSpan w:val="2"/>
            <w:vMerge w:val="restart"/>
            <w:tcMar/>
            <w:vAlign w:val="center"/>
          </w:tcPr>
          <w:p w:rsidRPr="00D83AA3" w:rsidR="00BA02B9" w:rsidP="00BA45DC" w:rsidRDefault="00BA02B9" w14:paraId="78A542A4" w14:textId="7A9E0D6D">
            <w:pPr>
              <w:textAlignment w:val="baseline"/>
              <w:rPr>
                <w:rFonts w:ascii="Twinkl" w:hAnsi="Twinkl" w:eastAsia="Times New Roman" w:cstheme="minorHAnsi"/>
                <w:sz w:val="20"/>
                <w:szCs w:val="20"/>
                <w:lang w:val="en-GB" w:eastAsia="en-GB"/>
              </w:rPr>
            </w:pPr>
            <w:r w:rsidRPr="00D83AA3">
              <w:rPr>
                <w:rFonts w:ascii="Twinkl" w:hAnsi="Twinkl" w:eastAsia="Times New Roman" w:cstheme="minorHAnsi"/>
                <w:sz w:val="20"/>
                <w:szCs w:val="20"/>
                <w:lang w:val="en-GB" w:eastAsia="en-GB"/>
              </w:rPr>
              <w:t>Throughout this topic, quality first teaching will provide differentiation:</w:t>
            </w:r>
          </w:p>
          <w:p w:rsidRPr="00D83AA3" w:rsidR="00BA02B9" w:rsidP="00BA45DC" w:rsidRDefault="00BA02B9" w14:paraId="76FA92CC" w14:textId="77777777">
            <w:pPr>
              <w:pStyle w:val="ListParagraph"/>
              <w:ind w:left="0"/>
              <w:rPr>
                <w:rFonts w:ascii="Twinkl" w:hAnsi="Twinkl" w:cstheme="minorHAnsi"/>
                <w:b/>
                <w:sz w:val="20"/>
                <w:szCs w:val="20"/>
              </w:rPr>
            </w:pPr>
            <w:r w:rsidRPr="00D83AA3">
              <w:rPr>
                <w:rFonts w:ascii="Twinkl" w:hAnsi="Twinkl" w:cstheme="minorHAnsi"/>
                <w:b/>
                <w:sz w:val="20"/>
                <w:szCs w:val="20"/>
              </w:rPr>
              <w:t xml:space="preserve">By product: </w:t>
            </w:r>
            <w:r w:rsidRPr="00D83AA3">
              <w:rPr>
                <w:rStyle w:val="normaltextrun"/>
                <w:rFonts w:ascii="Twinkl" w:hAnsi="Twinkl" w:cs="Arial"/>
                <w:color w:val="000000"/>
                <w:sz w:val="20"/>
                <w:szCs w:val="20"/>
                <w:shd w:val="clear" w:color="auto" w:fill="FFFFFF"/>
              </w:rPr>
              <w:t>different learners are asked to present outcomes in a different way via pieces of writing, models and drawings, a voice recording, a song, a drama presentation etc.</w:t>
            </w:r>
            <w:r w:rsidRPr="00D83AA3">
              <w:rPr>
                <w:rStyle w:val="eop"/>
                <w:rFonts w:ascii="Twinkl" w:hAnsi="Twinkl" w:cs="Arial"/>
                <w:color w:val="000000"/>
                <w:sz w:val="20"/>
                <w:szCs w:val="20"/>
                <w:shd w:val="clear" w:color="auto" w:fill="FFFFFF"/>
              </w:rPr>
              <w:t> </w:t>
            </w:r>
          </w:p>
          <w:p w:rsidRPr="00D83AA3" w:rsidR="00BA02B9" w:rsidP="00BA45DC" w:rsidRDefault="00BA02B9" w14:paraId="05DE9AD1" w14:textId="77777777">
            <w:pPr>
              <w:pStyle w:val="ListParagraph"/>
              <w:ind w:left="0"/>
              <w:rPr>
                <w:rStyle w:val="eop"/>
                <w:rFonts w:ascii="Twinkl" w:hAnsi="Twinkl" w:cs="Arial"/>
                <w:color w:val="000000"/>
                <w:sz w:val="20"/>
                <w:szCs w:val="20"/>
                <w:shd w:val="clear" w:color="auto" w:fill="FFFFFF"/>
              </w:rPr>
            </w:pPr>
            <w:r w:rsidRPr="00D83AA3">
              <w:rPr>
                <w:rFonts w:ascii="Twinkl" w:hAnsi="Twinkl" w:cstheme="minorHAnsi"/>
                <w:b/>
                <w:bCs/>
                <w:color w:val="000000"/>
                <w:sz w:val="20"/>
                <w:szCs w:val="20"/>
              </w:rPr>
              <w:t xml:space="preserve">By resource: </w:t>
            </w:r>
            <w:r w:rsidRPr="00D83AA3">
              <w:rPr>
                <w:rStyle w:val="normaltextrun"/>
                <w:rFonts w:ascii="Twinkl" w:hAnsi="Twinkl" w:cs="Arial"/>
                <w:color w:val="000000"/>
                <w:sz w:val="20"/>
                <w:szCs w:val="20"/>
                <w:shd w:val="clear" w:color="auto" w:fill="FFFFFF"/>
              </w:rPr>
              <w:t> readability to be improved for example, by using a predominance of one or two syllable words, simple sentences, connectives to guide the reader through the text etc. Worksheets are clearly presented and accessible. Instructions are clearly outlined and separate from the information so that pupils know where to begin and end.</w:t>
            </w:r>
            <w:r w:rsidRPr="00D83AA3">
              <w:rPr>
                <w:rStyle w:val="eop"/>
                <w:rFonts w:ascii="Twinkl" w:hAnsi="Twinkl" w:cs="Arial"/>
                <w:color w:val="000000"/>
                <w:sz w:val="20"/>
                <w:szCs w:val="20"/>
                <w:shd w:val="clear" w:color="auto" w:fill="FFFFFF"/>
              </w:rPr>
              <w:t> </w:t>
            </w:r>
            <w:r w:rsidRPr="00D83AA3">
              <w:rPr>
                <w:rStyle w:val="normaltextrun"/>
                <w:rFonts w:ascii="Twinkl" w:hAnsi="Twinkl" w:cs="Arial"/>
                <w:color w:val="000000"/>
                <w:sz w:val="20"/>
                <w:szCs w:val="20"/>
                <w:shd w:val="clear" w:color="auto" w:fill="FFFFFF"/>
              </w:rPr>
              <w:t>Class texts are supplemented or replaced with appropriate differentiated texts.</w:t>
            </w:r>
            <w:r w:rsidRPr="00D83AA3">
              <w:rPr>
                <w:rStyle w:val="eop"/>
                <w:rFonts w:ascii="Twinkl" w:hAnsi="Twinkl" w:cs="Arial"/>
                <w:color w:val="000000"/>
                <w:sz w:val="20"/>
                <w:szCs w:val="20"/>
                <w:shd w:val="clear" w:color="auto" w:fill="FFFFFF"/>
              </w:rPr>
              <w:t> </w:t>
            </w:r>
            <w:r w:rsidRPr="00D83AA3">
              <w:rPr>
                <w:rStyle w:val="normaltextrun"/>
                <w:rFonts w:ascii="Twinkl" w:hAnsi="Twinkl" w:cs="Arial"/>
                <w:color w:val="000000"/>
                <w:sz w:val="20"/>
                <w:szCs w:val="20"/>
                <w:shd w:val="clear" w:color="auto" w:fill="FFFFFF"/>
              </w:rPr>
              <w:t>Resources used will appeal to the range of preferred learning styles of pupils e.g. visual, auditory or kinesthetic learners.</w:t>
            </w:r>
            <w:r w:rsidRPr="00D83AA3">
              <w:rPr>
                <w:rStyle w:val="eop"/>
                <w:rFonts w:ascii="Twinkl" w:hAnsi="Twinkl" w:cs="Arial"/>
                <w:color w:val="000000"/>
                <w:sz w:val="20"/>
                <w:szCs w:val="20"/>
                <w:shd w:val="clear" w:color="auto" w:fill="FFFFFF"/>
              </w:rPr>
              <w:t> </w:t>
            </w:r>
          </w:p>
          <w:p w:rsidRPr="00D83AA3" w:rsidR="00BA02B9" w:rsidP="00BA45DC" w:rsidRDefault="00BA02B9" w14:paraId="47E5FD65" w14:textId="77777777">
            <w:pPr>
              <w:pStyle w:val="ListParagraph"/>
              <w:ind w:left="0"/>
              <w:rPr>
                <w:rStyle w:val="eop"/>
                <w:rFonts w:ascii="Twinkl" w:hAnsi="Twinkl" w:cs="Arial"/>
                <w:color w:val="000000"/>
                <w:sz w:val="20"/>
                <w:szCs w:val="20"/>
                <w:shd w:val="clear" w:color="auto" w:fill="FFFFFF"/>
              </w:rPr>
            </w:pPr>
            <w:r w:rsidRPr="00D83AA3">
              <w:rPr>
                <w:rStyle w:val="normaltextrun"/>
                <w:rFonts w:ascii="Twinkl" w:hAnsi="Twinkl" w:cs="Arial"/>
                <w:b/>
                <w:bCs/>
                <w:color w:val="000000"/>
                <w:sz w:val="20"/>
                <w:szCs w:val="20"/>
                <w:shd w:val="clear" w:color="auto" w:fill="FFFFFF"/>
              </w:rPr>
              <w:t>By Intervention</w:t>
            </w:r>
            <w:r w:rsidRPr="00D83AA3">
              <w:rPr>
                <w:rStyle w:val="normaltextrun"/>
                <w:rFonts w:ascii="Twinkl" w:hAnsi="Twinkl" w:cs="Arial"/>
                <w:color w:val="000000"/>
                <w:sz w:val="20"/>
                <w:szCs w:val="20"/>
                <w:shd w:val="clear" w:color="auto" w:fill="FFFFFF"/>
              </w:rPr>
              <w:t>: by providing different levels of supervision and support</w:t>
            </w:r>
          </w:p>
          <w:p w:rsidRPr="00D83AA3" w:rsidR="00BA02B9" w:rsidP="00BA45DC" w:rsidRDefault="00BA02B9" w14:paraId="5D36F1BE" w14:textId="77777777">
            <w:pPr>
              <w:textAlignment w:val="baseline"/>
              <w:rPr>
                <w:rFonts w:ascii="Twinkl" w:hAnsi="Twinkl" w:eastAsia="Times New Roman" w:cs="Arial"/>
                <w:color w:val="000000"/>
                <w:sz w:val="20"/>
                <w:szCs w:val="20"/>
                <w:lang w:val="en-GB" w:eastAsia="en-GB"/>
              </w:rPr>
            </w:pPr>
            <w:r w:rsidRPr="00D83AA3">
              <w:rPr>
                <w:rFonts w:ascii="Twinkl" w:hAnsi="Twinkl" w:eastAsia="Times New Roman" w:cs="Arial"/>
                <w:b/>
                <w:bCs/>
                <w:color w:val="000000"/>
                <w:sz w:val="20"/>
                <w:szCs w:val="20"/>
                <w:lang w:val="en-GB" w:eastAsia="en-GB"/>
              </w:rPr>
              <w:t>By Progressive Questioning:</w:t>
            </w:r>
            <w:r w:rsidRPr="00D83AA3">
              <w:rPr>
                <w:rFonts w:ascii="Twinkl" w:hAnsi="Twinkl" w:eastAsia="Times New Roman" w:cs="Arial"/>
                <w:color w:val="000000"/>
                <w:sz w:val="20"/>
                <w:szCs w:val="20"/>
                <w:lang w:val="en-GB" w:eastAsia="en-GB"/>
              </w:rPr>
              <w:t> exploring pupils’ understanding through interactive dialogue.</w:t>
            </w:r>
            <w:r w:rsidRPr="00D83AA3">
              <w:rPr>
                <w:rFonts w:ascii="Twinkl" w:hAnsi="Twinkl" w:eastAsia="Times New Roman" w:cs="Arial"/>
                <w:sz w:val="20"/>
                <w:szCs w:val="20"/>
                <w:lang w:val="en-GB" w:eastAsia="en-GB"/>
              </w:rPr>
              <w:t> </w:t>
            </w:r>
          </w:p>
          <w:p w:rsidRPr="00D83AA3" w:rsidR="00BA02B9" w:rsidP="00BA45DC" w:rsidRDefault="00BA02B9" w14:paraId="1FE4EF00" w14:textId="77777777">
            <w:pPr>
              <w:textAlignment w:val="baseline"/>
              <w:rPr>
                <w:rFonts w:ascii="Twinkl" w:hAnsi="Twinkl" w:eastAsia="Times New Roman" w:cs="Segoe UI"/>
                <w:sz w:val="20"/>
                <w:szCs w:val="20"/>
                <w:lang w:val="en-GB" w:eastAsia="en-GB"/>
              </w:rPr>
            </w:pPr>
            <w:r w:rsidRPr="00D83AA3">
              <w:rPr>
                <w:rFonts w:ascii="Twinkl" w:hAnsi="Twinkl" w:eastAsia="Times New Roman" w:cs="Arial"/>
                <w:b/>
                <w:bCs/>
                <w:color w:val="000000"/>
                <w:sz w:val="20"/>
                <w:szCs w:val="20"/>
                <w:lang w:val="en-GB" w:eastAsia="en-GB"/>
              </w:rPr>
              <w:t>By Grouping:</w:t>
            </w:r>
            <w:r w:rsidRPr="00D83AA3">
              <w:rPr>
                <w:rFonts w:ascii="Twinkl" w:hAnsi="Twinkl" w:eastAsia="Times New Roman" w:cs="Arial"/>
                <w:color w:val="000000"/>
                <w:sz w:val="20"/>
                <w:szCs w:val="20"/>
                <w:lang w:val="en-GB" w:eastAsia="en-GB"/>
              </w:rPr>
              <w:t> according to prior attainment, gender, social preference, preferred learning style.</w:t>
            </w:r>
            <w:r w:rsidRPr="00D83AA3">
              <w:rPr>
                <w:rFonts w:ascii="Twinkl" w:hAnsi="Twinkl" w:eastAsia="Times New Roman" w:cs="Arial"/>
                <w:sz w:val="20"/>
                <w:szCs w:val="20"/>
                <w:lang w:val="en-GB" w:eastAsia="en-GB"/>
              </w:rPr>
              <w:t> </w:t>
            </w:r>
          </w:p>
          <w:p w:rsidRPr="00D83AA3" w:rsidR="00BA02B9" w:rsidP="00BA45DC" w:rsidRDefault="00BA02B9" w14:paraId="2CB198D6" w14:textId="77777777">
            <w:pPr>
              <w:textAlignment w:val="baseline"/>
              <w:rPr>
                <w:rFonts w:ascii="Twinkl" w:hAnsi="Twinkl" w:eastAsia="Times New Roman" w:cs="Arial"/>
                <w:sz w:val="20"/>
                <w:szCs w:val="20"/>
                <w:lang w:val="en-GB" w:eastAsia="en-GB"/>
              </w:rPr>
            </w:pPr>
            <w:r w:rsidRPr="00D83AA3">
              <w:rPr>
                <w:rFonts w:ascii="Twinkl" w:hAnsi="Twinkl" w:eastAsia="Times New Roman" w:cs="Arial"/>
                <w:b/>
                <w:bCs/>
                <w:color w:val="000000"/>
                <w:sz w:val="20"/>
                <w:szCs w:val="20"/>
                <w:lang w:val="en-GB" w:eastAsia="en-GB"/>
              </w:rPr>
              <w:t>By Task: </w:t>
            </w:r>
            <w:r w:rsidRPr="00D83AA3">
              <w:rPr>
                <w:rFonts w:ascii="Twinkl" w:hAnsi="Twinkl" w:eastAsia="Times New Roman" w:cs="Arial"/>
                <w:sz w:val="20"/>
                <w:szCs w:val="20"/>
                <w:lang w:val="en-GB" w:eastAsia="en-GB"/>
              </w:rPr>
              <w:t xml:space="preserve">Pupils should be involved in the identification of targets which are meaningful to them and in the selection of an appropriate task from the given range. </w:t>
            </w:r>
          </w:p>
          <w:p w:rsidRPr="00D83AA3" w:rsidR="00BA02B9" w:rsidP="00BA45DC" w:rsidRDefault="00BA02B9" w14:paraId="7E3B9E3C" w14:textId="77777777">
            <w:pPr>
              <w:autoSpaceDE w:val="0"/>
              <w:autoSpaceDN w:val="0"/>
              <w:adjustRightInd w:val="0"/>
              <w:rPr>
                <w:rFonts w:ascii="Twinkl" w:hAnsi="Twinkl" w:eastAsia="Times New Roman" w:cs="Arial"/>
                <w:sz w:val="20"/>
                <w:szCs w:val="20"/>
                <w:lang w:val="en-GB" w:eastAsia="en-GB"/>
              </w:rPr>
            </w:pPr>
            <w:r w:rsidRPr="00D83AA3">
              <w:rPr>
                <w:rFonts w:ascii="Twinkl" w:hAnsi="Twinkl" w:eastAsia="Times New Roman" w:cs="Arial"/>
                <w:b/>
                <w:bCs/>
                <w:color w:val="000000"/>
                <w:sz w:val="20"/>
                <w:szCs w:val="20"/>
                <w:lang w:val="en-GB" w:eastAsia="en-GB"/>
              </w:rPr>
              <w:t>By Offering Optional Activities:</w:t>
            </w:r>
            <w:r w:rsidRPr="00D83AA3">
              <w:rPr>
                <w:rFonts w:ascii="Twinkl" w:hAnsi="Twinkl" w:eastAsia="Times New Roman" w:cs="Arial"/>
                <w:color w:val="000000"/>
                <w:sz w:val="20"/>
                <w:szCs w:val="20"/>
                <w:lang w:val="en-GB" w:eastAsia="en-GB"/>
              </w:rPr>
              <w:t> In class or as homework, to extend learning.</w:t>
            </w:r>
            <w:r w:rsidRPr="00D83AA3">
              <w:rPr>
                <w:rFonts w:ascii="Twinkl" w:hAnsi="Twinkl" w:eastAsia="Times New Roman" w:cs="Arial"/>
                <w:sz w:val="20"/>
                <w:szCs w:val="20"/>
                <w:lang w:val="en-GB" w:eastAsia="en-GB"/>
              </w:rPr>
              <w:t> </w:t>
            </w:r>
          </w:p>
          <w:p w:rsidRPr="00D83AA3" w:rsidR="007041FD" w:rsidP="00BA45DC" w:rsidRDefault="007041FD" w14:paraId="4D4E3B4C" w14:textId="5B292310">
            <w:pPr>
              <w:autoSpaceDE w:val="0"/>
              <w:autoSpaceDN w:val="0"/>
              <w:adjustRightInd w:val="0"/>
              <w:rPr>
                <w:rFonts w:ascii="Twinkl" w:hAnsi="Twinkl"/>
                <w:b/>
                <w:sz w:val="20"/>
                <w:szCs w:val="20"/>
              </w:rPr>
            </w:pPr>
            <w:r w:rsidRPr="00D83AA3">
              <w:rPr>
                <w:rFonts w:ascii="Twinkl" w:hAnsi="Twinkl" w:eastAsia="Times New Roman" w:cs="Arial"/>
                <w:sz w:val="20"/>
                <w:szCs w:val="20"/>
                <w:lang w:val="en-GB" w:eastAsia="en-GB"/>
              </w:rPr>
              <w:t>This QFT/SEND provision will be explicit within the lesson by lesson schemes of work.</w:t>
            </w:r>
          </w:p>
        </w:tc>
      </w:tr>
      <w:tr w:rsidRPr="00D83AA3" w:rsidR="00BA02B9" w:rsidTr="7A21D79B" w14:paraId="4DA79953" w14:textId="77777777">
        <w:trPr>
          <w:trHeight w:val="1710"/>
        </w:trPr>
        <w:tc>
          <w:tcPr>
            <w:tcW w:w="2100" w:type="dxa"/>
            <w:shd w:val="clear" w:color="auto" w:fill="D0CECE" w:themeFill="background2" w:themeFillShade="E6"/>
            <w:tcMar/>
            <w:vAlign w:val="center"/>
          </w:tcPr>
          <w:p w:rsidRPr="00D83AA3" w:rsidR="00BA02B9" w:rsidP="00BA45DC" w:rsidRDefault="00BA02B9" w14:paraId="19215041" w14:textId="637BD635">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gridSpan w:val="2"/>
            <w:vMerge/>
            <w:tcMar/>
            <w:vAlign w:val="center"/>
          </w:tcPr>
          <w:p w:rsidRPr="00D83AA3" w:rsidR="00BA02B9" w:rsidP="00BA45DC" w:rsidRDefault="00BA02B9" w14:paraId="2E109818" w14:textId="77777777">
            <w:pPr>
              <w:textAlignment w:val="baseline"/>
              <w:rPr>
                <w:rFonts w:ascii="Twinkl" w:hAnsi="Twinkl" w:eastAsia="Times New Roman" w:cstheme="minorHAnsi"/>
                <w:sz w:val="20"/>
                <w:szCs w:val="20"/>
                <w:lang w:val="en-GB" w:eastAsia="en-GB"/>
              </w:rPr>
            </w:pPr>
          </w:p>
        </w:tc>
      </w:tr>
      <w:tr w:rsidRPr="00D83AA3" w:rsidR="00BA02B9" w:rsidTr="7A21D79B" w14:paraId="5C9CC8E4" w14:textId="77777777">
        <w:trPr>
          <w:trHeight w:val="699"/>
        </w:trPr>
        <w:tc>
          <w:tcPr>
            <w:tcW w:w="2100" w:type="dxa"/>
            <w:shd w:val="clear" w:color="auto" w:fill="000000" w:themeFill="text1"/>
            <w:tcMar/>
            <w:vAlign w:val="center"/>
          </w:tcPr>
          <w:p w:rsidRPr="00D83AA3" w:rsidR="00BA02B9" w:rsidP="00BA45DC" w:rsidRDefault="00D80B59" w14:paraId="76FB1269" w14:textId="0E43A4C3">
            <w:pPr>
              <w:jc w:val="center"/>
              <w:rPr>
                <w:rFonts w:ascii="Twinkl" w:hAnsi="Twinkl"/>
                <w:b/>
              </w:rPr>
            </w:pPr>
            <w:r w:rsidRPr="00D83AA3">
              <w:rPr>
                <w:rFonts w:ascii="Twinkl" w:hAnsi="Twinkl"/>
                <w:b/>
              </w:rPr>
              <w:lastRenderedPageBreak/>
              <w:t xml:space="preserve">Intent &amp; </w:t>
            </w:r>
            <w:r w:rsidRPr="00D83AA3" w:rsidR="00BA02B9">
              <w:rPr>
                <w:rFonts w:ascii="Twinkl" w:hAnsi="Twinkl"/>
                <w:b/>
              </w:rPr>
              <w:t>Implementation</w:t>
            </w:r>
          </w:p>
          <w:p w:rsidRPr="00D83AA3" w:rsidR="00BA02B9" w:rsidP="00BA45DC" w:rsidRDefault="00BA02B9" w14:paraId="7FA667E2" w14:textId="77777777">
            <w:pPr>
              <w:pStyle w:val="ListParagraph"/>
              <w:ind w:left="0"/>
              <w:jc w:val="center"/>
              <w:rPr>
                <w:rFonts w:ascii="Twinkl" w:hAnsi="Twinkl" w:cstheme="minorHAnsi"/>
                <w:b/>
              </w:rPr>
            </w:pPr>
          </w:p>
        </w:tc>
        <w:tc>
          <w:tcPr>
            <w:tcW w:w="8952" w:type="dxa"/>
            <w:gridSpan w:val="2"/>
            <w:vMerge w:val="restart"/>
            <w:tcMar/>
            <w:vAlign w:val="center"/>
          </w:tcPr>
          <w:p w:rsidRPr="00D83AA3" w:rsidR="00144700" w:rsidP="00984A31" w:rsidRDefault="00984A31" w14:paraId="20924DFD" w14:textId="5EE9D2BD">
            <w:pPr>
              <w:shd w:val="clear" w:color="auto" w:fill="FFFFFF"/>
              <w:spacing w:line="235" w:lineRule="atLeast"/>
              <w:rPr>
                <w:rFonts w:ascii="Twinkl" w:hAnsi="Twinkl" w:eastAsia="Times New Roman" w:cs="Calibri"/>
                <w:color w:val="000000"/>
                <w:sz w:val="22"/>
                <w:szCs w:val="22"/>
                <w:lang w:val="en-GB" w:eastAsia="en-GB"/>
              </w:rPr>
            </w:pPr>
            <w:r w:rsidRPr="00D83AA3">
              <w:rPr>
                <w:rFonts w:ascii="Twinkl" w:hAnsi="Twinkl" w:eastAsia="Times New Roman" w:cs="Calibri"/>
                <w:color w:val="000000"/>
                <w:sz w:val="22"/>
                <w:szCs w:val="22"/>
                <w:bdr w:val="none" w:color="auto" w:sz="0" w:space="0" w:frame="1"/>
                <w:lang w:val="en-GB" w:eastAsia="en-GB"/>
              </w:rPr>
              <w:t>In Year 7, we have planned to provide pupils with a firm foundation of foreign language learning. Although our Year 7 pupils will have had a difference of experience in their learning of a Modern Foreign Language in their respective Primary School, pupils will transition by building up in depth and breadth on their understanding of what it means to learn a foreign language. The purpose of the languages curriculum at Crompton House School is to foster curiosity about the wider world, train and enhance literacy and problem-solving skills, whilst equipping our learners with a versatile skill that will enable future success in a global and multicultural society.</w:t>
            </w:r>
          </w:p>
          <w:p w:rsidRPr="00D83AA3" w:rsidR="00144700" w:rsidP="00984A31" w:rsidRDefault="00144700" w14:paraId="4B467D3E" w14:textId="77777777">
            <w:pPr>
              <w:shd w:val="clear" w:color="auto" w:fill="FFFFFF"/>
              <w:spacing w:line="235" w:lineRule="atLeast"/>
              <w:rPr>
                <w:rFonts w:ascii="Twinkl" w:hAnsi="Twinkl" w:eastAsia="Times New Roman" w:cs="Calibri"/>
                <w:color w:val="000000"/>
                <w:sz w:val="22"/>
                <w:szCs w:val="22"/>
                <w:lang w:val="en-GB" w:eastAsia="en-GB"/>
              </w:rPr>
            </w:pPr>
          </w:p>
          <w:p w:rsidRPr="00D83AA3" w:rsidR="00984A31" w:rsidP="00984A31" w:rsidRDefault="00984A31" w14:paraId="58373B1E" w14:textId="5D999E68">
            <w:pPr>
              <w:shd w:val="clear" w:color="auto" w:fill="FFFFFF"/>
              <w:spacing w:line="235" w:lineRule="atLeast"/>
              <w:rPr>
                <w:rFonts w:ascii="Twinkl" w:hAnsi="Twinkl" w:eastAsia="Times New Roman" w:cs="Calibri"/>
                <w:color w:val="000000"/>
                <w:sz w:val="22"/>
                <w:szCs w:val="22"/>
                <w:lang w:val="en-GB" w:eastAsia="en-GB"/>
              </w:rPr>
            </w:pPr>
            <w:r w:rsidRPr="00D83AA3">
              <w:rPr>
                <w:rFonts w:ascii="Twinkl" w:hAnsi="Twinkl" w:eastAsia="Times New Roman" w:cs="Calibri"/>
                <w:color w:val="000000"/>
                <w:sz w:val="22"/>
                <w:szCs w:val="22"/>
                <w:bdr w:val="none" w:color="auto" w:sz="0" w:space="0" w:frame="1"/>
                <w:lang w:val="en-GB" w:eastAsia="en-GB"/>
              </w:rPr>
              <w:t xml:space="preserve">Our aim is not merely coverage of the national curriculum, but the idea of mastery. A range of knowledge and skills will be developed throughout each unit with repeated practice. Our scheme of learning for Year 7 is vertically integrated with vocabulary, grammatical knowledge and key structures sequenced through each topic so that via the constant repetition of familiar concepts with increasing complexity, our pupils will be able to make links between each area to develop their understanding of how </w:t>
            </w:r>
            <w:r w:rsidR="00DD69CB">
              <w:rPr>
                <w:rFonts w:ascii="Twinkl" w:hAnsi="Twinkl" w:eastAsia="Times New Roman" w:cs="Calibri"/>
                <w:color w:val="000000"/>
                <w:sz w:val="22"/>
                <w:szCs w:val="22"/>
                <w:bdr w:val="none" w:color="auto" w:sz="0" w:space="0" w:frame="1"/>
                <w:lang w:val="en-GB" w:eastAsia="en-GB"/>
              </w:rPr>
              <w:t>Spanish</w:t>
            </w:r>
            <w:r w:rsidRPr="00D83AA3">
              <w:rPr>
                <w:rFonts w:ascii="Twinkl" w:hAnsi="Twinkl" w:eastAsia="Times New Roman" w:cs="Calibri"/>
                <w:color w:val="000000"/>
                <w:sz w:val="22"/>
                <w:szCs w:val="22"/>
                <w:bdr w:val="none" w:color="auto" w:sz="0" w:space="0" w:frame="1"/>
                <w:lang w:val="en-GB" w:eastAsia="en-GB"/>
              </w:rPr>
              <w:t xml:space="preserve"> works. Throughout our medium term and lesson by lesson planning, our aim is to make our curriculum relevant, matching the level of our pupils’ maturity whilst being ambitious yet accessible and enjoyable to all pupil groups. The Year 7 </w:t>
            </w:r>
            <w:r w:rsidR="00DD69CB">
              <w:rPr>
                <w:rFonts w:ascii="Twinkl" w:hAnsi="Twinkl" w:eastAsia="Times New Roman" w:cs="Calibri"/>
                <w:color w:val="000000"/>
                <w:sz w:val="22"/>
                <w:szCs w:val="22"/>
                <w:bdr w:val="none" w:color="auto" w:sz="0" w:space="0" w:frame="1"/>
                <w:lang w:val="en-GB" w:eastAsia="en-GB"/>
              </w:rPr>
              <w:t>Spanish</w:t>
            </w:r>
            <w:r w:rsidRPr="00D83AA3">
              <w:rPr>
                <w:rFonts w:ascii="Twinkl" w:hAnsi="Twinkl" w:eastAsia="Times New Roman" w:cs="Calibri"/>
                <w:color w:val="000000"/>
                <w:sz w:val="22"/>
                <w:szCs w:val="22"/>
                <w:bdr w:val="none" w:color="auto" w:sz="0" w:space="0" w:frame="1"/>
                <w:lang w:val="en-GB" w:eastAsia="en-GB"/>
              </w:rPr>
              <w:t xml:space="preserve"> curriculum also matches our overall school curriculum intent in valuing the principles of our whole school vision, which is to achieve excellence in creating successful learners, confident individuals and responsible citizens whilst continuing to encourage loving God and caring for each other. Throughout their study of </w:t>
            </w:r>
            <w:r w:rsidRPr="00D83AA3" w:rsidR="00FB1D9D">
              <w:rPr>
                <w:rFonts w:ascii="Twinkl" w:hAnsi="Twinkl" w:eastAsia="Times New Roman" w:cs="Calibri"/>
                <w:color w:val="000000"/>
                <w:sz w:val="22"/>
                <w:szCs w:val="22"/>
                <w:bdr w:val="none" w:color="auto" w:sz="0" w:space="0" w:frame="1"/>
                <w:lang w:val="en-GB" w:eastAsia="en-GB"/>
              </w:rPr>
              <w:t>Spanish</w:t>
            </w:r>
            <w:r w:rsidRPr="00D83AA3">
              <w:rPr>
                <w:rFonts w:ascii="Twinkl" w:hAnsi="Twinkl" w:eastAsia="Times New Roman" w:cs="Calibri"/>
                <w:color w:val="000000"/>
                <w:sz w:val="22"/>
                <w:szCs w:val="22"/>
                <w:bdr w:val="none" w:color="auto" w:sz="0" w:space="0" w:frame="1"/>
                <w:lang w:val="en-GB" w:eastAsia="en-GB"/>
              </w:rPr>
              <w:t>, our pupils are also encouraged to make cross-curricular links through a range of content and enrichment opportunities to see how studying a language can link to several career paths</w:t>
            </w:r>
          </w:p>
          <w:p w:rsidRPr="00D83AA3" w:rsidR="00984A31" w:rsidP="00984A31" w:rsidRDefault="00984A31" w14:paraId="41FEB559" w14:textId="77777777">
            <w:pPr>
              <w:shd w:val="clear" w:color="auto" w:fill="FFFFFF"/>
              <w:spacing w:line="235" w:lineRule="atLeast"/>
              <w:rPr>
                <w:rFonts w:ascii="Twinkl" w:hAnsi="Twinkl" w:eastAsia="Times New Roman" w:cs="Calibri"/>
                <w:color w:val="000000"/>
                <w:sz w:val="22"/>
                <w:szCs w:val="22"/>
                <w:bdr w:val="none" w:color="auto" w:sz="0" w:space="0" w:frame="1"/>
                <w:shd w:val="clear" w:color="auto" w:fill="FFFF00"/>
                <w:lang w:val="en-GB" w:eastAsia="en-GB"/>
              </w:rPr>
            </w:pPr>
          </w:p>
          <w:p w:rsidRPr="00D83AA3" w:rsidR="00984A31" w:rsidP="00984A31" w:rsidRDefault="00984A31" w14:paraId="7AEC3C3B" w14:textId="27E6315C">
            <w:pPr>
              <w:shd w:val="clear" w:color="auto" w:fill="FFFFFF"/>
              <w:spacing w:line="235" w:lineRule="atLeast"/>
              <w:rPr>
                <w:rFonts w:ascii="Twinkl" w:hAnsi="Twinkl" w:eastAsia="Times New Roman" w:cs="Calibri"/>
                <w:color w:val="000000"/>
                <w:sz w:val="22"/>
                <w:szCs w:val="22"/>
                <w:bdr w:val="none" w:color="auto" w:sz="0" w:space="0" w:frame="1"/>
                <w:shd w:val="clear" w:color="auto" w:fill="FFFFFF"/>
                <w:lang w:val="en-GB" w:eastAsia="en-GB"/>
              </w:rPr>
            </w:pPr>
            <w:r w:rsidRPr="00D83AA3">
              <w:rPr>
                <w:rFonts w:ascii="Twinkl" w:hAnsi="Twinkl" w:eastAsia="Times New Roman" w:cs="Calibri"/>
                <w:color w:val="000000"/>
                <w:sz w:val="22"/>
                <w:szCs w:val="22"/>
                <w:bdr w:val="none" w:color="auto" w:sz="0" w:space="0" w:frame="1"/>
                <w:shd w:val="clear" w:color="auto" w:fill="FFFFFF"/>
                <w:lang w:val="en-GB" w:eastAsia="en-GB"/>
              </w:rPr>
              <w:t>The delivery model and pedagogy which will underpin how our MFL teachers will deliver the curriculum, to help our pupils to learn at a deeper level, is based on automaticity and over-learning. Our pupils are introduced to the core competencies that make a successful linguist which are revisited in each topic of study until pupils are able to recall and manipulate language with confidence. New technologies are also widely used to support in-class learning and improve upon the digital literacy of our learners. The skills we would expect to see include more than pupils just learning the language itself, but how to understand it, produce it and combine elements of it to produce new utterances, answer new questions and meet new situations.  </w:t>
            </w:r>
          </w:p>
          <w:p w:rsidR="00984A31" w:rsidP="008A4325" w:rsidRDefault="00984A31" w14:paraId="45007069" w14:textId="4B612604">
            <w:pPr>
              <w:shd w:val="clear" w:color="auto" w:fill="FFFFFF"/>
              <w:spacing w:line="235" w:lineRule="atLeast"/>
              <w:rPr>
                <w:rFonts w:ascii="Twinkl" w:hAnsi="Twinkl" w:eastAsia="Times New Roman" w:cs="Calibri"/>
                <w:color w:val="000000"/>
                <w:sz w:val="22"/>
                <w:szCs w:val="22"/>
                <w:lang w:val="en-GB" w:eastAsia="en-GB"/>
              </w:rPr>
            </w:pPr>
          </w:p>
          <w:p w:rsidR="008A4325" w:rsidP="008A4325" w:rsidRDefault="008A4325" w14:paraId="54E33B01" w14:textId="053F350E">
            <w:pPr>
              <w:pStyle w:val="ListParagraph"/>
              <w:numPr>
                <w:ilvl w:val="0"/>
                <w:numId w:val="37"/>
              </w:numPr>
              <w:shd w:val="clear" w:color="auto" w:fill="FFFFFF"/>
              <w:spacing w:line="235" w:lineRule="atLeast"/>
              <w:rPr>
                <w:rFonts w:ascii="Twinkl" w:hAnsi="Twinkl" w:eastAsia="Times New Roman" w:cs="Calibri"/>
                <w:color w:val="000000"/>
                <w:sz w:val="22"/>
                <w:szCs w:val="22"/>
                <w:lang w:val="en-GB" w:eastAsia="en-GB"/>
              </w:rPr>
            </w:pPr>
            <w:r>
              <w:rPr>
                <w:rFonts w:ascii="Twinkl" w:hAnsi="Twinkl" w:eastAsia="Times New Roman" w:cs="Calibri"/>
                <w:color w:val="000000"/>
                <w:sz w:val="22"/>
                <w:szCs w:val="22"/>
                <w:lang w:val="en-GB" w:eastAsia="en-GB"/>
              </w:rPr>
              <w:t xml:space="preserve">I can talk about what I do at break time </w:t>
            </w:r>
          </w:p>
          <w:p w:rsidR="008A4325" w:rsidP="004A1FAE" w:rsidRDefault="008A4325" w14:paraId="74868AC0" w14:textId="77777777">
            <w:pPr>
              <w:shd w:val="clear" w:color="auto" w:fill="FFFFFF"/>
              <w:spacing w:line="235" w:lineRule="atLeast"/>
              <w:rPr>
                <w:rFonts w:ascii="Twinkl" w:hAnsi="Twinkl" w:eastAsia="Times New Roman" w:cs="Calibri"/>
                <w:color w:val="000000"/>
                <w:sz w:val="22"/>
                <w:szCs w:val="22"/>
                <w:lang w:val="en-GB" w:eastAsia="en-GB"/>
              </w:rPr>
            </w:pPr>
          </w:p>
          <w:p w:rsidRPr="004A1FAE" w:rsidR="004A1FAE" w:rsidP="004A1FAE" w:rsidRDefault="004A1FAE" w14:paraId="36DF0560" w14:textId="41A98087">
            <w:pPr>
              <w:pStyle w:val="ListParagraph"/>
              <w:numPr>
                <w:ilvl w:val="0"/>
                <w:numId w:val="37"/>
              </w:numPr>
              <w:shd w:val="clear" w:color="auto" w:fill="FFFFFF"/>
              <w:ind w:left="714" w:hanging="357"/>
              <w:contextualSpacing w:val="0"/>
              <w:rPr>
                <w:rFonts w:ascii="Twinkl" w:hAnsi="Twinkl" w:eastAsia="Times New Roman" w:cs="Calibri"/>
                <w:color w:val="000000"/>
                <w:sz w:val="22"/>
                <w:szCs w:val="22"/>
                <w:lang w:val="en-GB" w:eastAsia="en-GB"/>
              </w:rPr>
            </w:pPr>
            <w:r>
              <w:rPr>
                <w:rFonts w:ascii="Twinkl" w:hAnsi="Twinkl" w:eastAsia="Times New Roman" w:cs="Calibri"/>
                <w:color w:val="000000"/>
                <w:sz w:val="22"/>
                <w:szCs w:val="22"/>
                <w:lang w:val="en-GB" w:eastAsia="en-GB"/>
              </w:rPr>
              <w:t>I can say where I live</w:t>
            </w:r>
          </w:p>
          <w:p w:rsidR="004A1FAE" w:rsidP="004A1FAE" w:rsidRDefault="008661E7" w14:paraId="02EC1B46" w14:textId="7EEFF0F4">
            <w:pPr>
              <w:pStyle w:val="ListParagraph"/>
              <w:numPr>
                <w:ilvl w:val="0"/>
                <w:numId w:val="37"/>
              </w:numPr>
              <w:shd w:val="clear" w:color="auto" w:fill="FFFFFF"/>
              <w:ind w:left="714" w:hanging="357"/>
              <w:contextualSpacing w:val="0"/>
              <w:rPr>
                <w:rFonts w:ascii="Twinkl" w:hAnsi="Twinkl" w:eastAsia="Times New Roman" w:cs="Calibri"/>
                <w:color w:val="000000"/>
                <w:sz w:val="22"/>
                <w:szCs w:val="22"/>
                <w:lang w:val="en-GB" w:eastAsia="en-GB"/>
              </w:rPr>
            </w:pPr>
            <w:r>
              <w:rPr>
                <w:rFonts w:ascii="Twinkl" w:hAnsi="Twinkl" w:eastAsia="Times New Roman" w:cs="Calibri"/>
                <w:color w:val="000000"/>
                <w:sz w:val="22"/>
                <w:szCs w:val="22"/>
                <w:lang w:val="en-GB" w:eastAsia="en-GB"/>
              </w:rPr>
              <w:t xml:space="preserve">I can describe my town or village </w:t>
            </w:r>
          </w:p>
          <w:p w:rsidR="008661E7" w:rsidP="004A1FAE" w:rsidRDefault="004908D2" w14:paraId="36754C64" w14:textId="369ACED9">
            <w:pPr>
              <w:pStyle w:val="ListParagraph"/>
              <w:numPr>
                <w:ilvl w:val="0"/>
                <w:numId w:val="37"/>
              </w:numPr>
              <w:shd w:val="clear" w:color="auto" w:fill="FFFFFF"/>
              <w:ind w:left="714" w:hanging="357"/>
              <w:contextualSpacing w:val="0"/>
              <w:rPr>
                <w:rFonts w:ascii="Twinkl" w:hAnsi="Twinkl" w:eastAsia="Times New Roman" w:cs="Calibri"/>
                <w:color w:val="000000"/>
                <w:sz w:val="22"/>
                <w:szCs w:val="22"/>
                <w:lang w:val="en-GB" w:eastAsia="en-GB"/>
              </w:rPr>
            </w:pPr>
            <w:r>
              <w:rPr>
                <w:rFonts w:ascii="Twinkl" w:hAnsi="Twinkl" w:eastAsia="Times New Roman" w:cs="Calibri"/>
                <w:color w:val="000000"/>
                <w:sz w:val="22"/>
                <w:szCs w:val="22"/>
                <w:lang w:val="en-GB" w:eastAsia="en-GB"/>
              </w:rPr>
              <w:t xml:space="preserve">I can tell the time </w:t>
            </w:r>
          </w:p>
          <w:p w:rsidR="004908D2" w:rsidP="004A1FAE" w:rsidRDefault="004908D2" w14:paraId="1165A59A" w14:textId="3DE6D102">
            <w:pPr>
              <w:pStyle w:val="ListParagraph"/>
              <w:numPr>
                <w:ilvl w:val="0"/>
                <w:numId w:val="37"/>
              </w:numPr>
              <w:shd w:val="clear" w:color="auto" w:fill="FFFFFF"/>
              <w:ind w:left="714" w:hanging="357"/>
              <w:contextualSpacing w:val="0"/>
              <w:rPr>
                <w:rFonts w:ascii="Twinkl" w:hAnsi="Twinkl" w:eastAsia="Times New Roman" w:cs="Calibri"/>
                <w:color w:val="000000"/>
                <w:sz w:val="22"/>
                <w:szCs w:val="22"/>
                <w:lang w:val="en-GB" w:eastAsia="en-GB"/>
              </w:rPr>
            </w:pPr>
            <w:r>
              <w:rPr>
                <w:rFonts w:ascii="Twinkl" w:hAnsi="Twinkl" w:eastAsia="Times New Roman" w:cs="Calibri"/>
                <w:color w:val="000000"/>
                <w:sz w:val="22"/>
                <w:szCs w:val="22"/>
                <w:lang w:val="en-GB" w:eastAsia="en-GB"/>
              </w:rPr>
              <w:t>I can order food and drink in a café</w:t>
            </w:r>
          </w:p>
          <w:p w:rsidR="004908D2" w:rsidP="004A1FAE" w:rsidRDefault="004908D2" w14:paraId="5123553B" w14:textId="55A09DB3">
            <w:pPr>
              <w:pStyle w:val="ListParagraph"/>
              <w:numPr>
                <w:ilvl w:val="0"/>
                <w:numId w:val="37"/>
              </w:numPr>
              <w:shd w:val="clear" w:color="auto" w:fill="FFFFFF"/>
              <w:ind w:left="714" w:hanging="357"/>
              <w:contextualSpacing w:val="0"/>
              <w:rPr>
                <w:rFonts w:ascii="Twinkl" w:hAnsi="Twinkl" w:eastAsia="Times New Roman" w:cs="Calibri"/>
                <w:color w:val="000000"/>
                <w:sz w:val="22"/>
                <w:szCs w:val="22"/>
                <w:lang w:val="en-GB" w:eastAsia="en-GB"/>
              </w:rPr>
            </w:pPr>
            <w:r>
              <w:rPr>
                <w:rFonts w:ascii="Twinkl" w:hAnsi="Twinkl" w:eastAsia="Times New Roman" w:cs="Calibri"/>
                <w:color w:val="000000"/>
                <w:sz w:val="22"/>
                <w:szCs w:val="22"/>
                <w:lang w:val="en-GB" w:eastAsia="en-GB"/>
              </w:rPr>
              <w:t xml:space="preserve">I can say what I am going to do next weekend </w:t>
            </w:r>
          </w:p>
          <w:p w:rsidRPr="00C43B0D" w:rsidR="004908D2" w:rsidP="00C43B0D" w:rsidRDefault="004908D2" w14:paraId="50659D53" w14:textId="77777777">
            <w:pPr>
              <w:shd w:val="clear" w:color="auto" w:fill="FFFFFF"/>
              <w:ind w:left="357"/>
              <w:rPr>
                <w:rFonts w:ascii="Twinkl" w:hAnsi="Twinkl" w:eastAsia="Times New Roman" w:cs="Calibri"/>
                <w:color w:val="000000"/>
                <w:sz w:val="22"/>
                <w:szCs w:val="22"/>
                <w:lang w:val="en-GB" w:eastAsia="en-GB"/>
              </w:rPr>
            </w:pPr>
          </w:p>
          <w:p w:rsidR="00862D8F" w:rsidP="00862D8F" w:rsidRDefault="00862D8F" w14:paraId="6163160F" w14:textId="77777777">
            <w:pPr>
              <w:shd w:val="clear" w:color="auto" w:fill="FFFFFF"/>
              <w:textAlignment w:val="baseline"/>
              <w:rPr>
                <w:rFonts w:ascii="Twinkl" w:hAnsi="Twinkl" w:eastAsia="Times New Roman" w:cstheme="minorHAnsi"/>
                <w:color w:val="000000" w:themeColor="text1"/>
                <w:sz w:val="20"/>
                <w:szCs w:val="20"/>
                <w:lang w:val="en-GB" w:eastAsia="en-GB"/>
              </w:rPr>
            </w:pPr>
          </w:p>
          <w:p w:rsidRPr="00D83AA3" w:rsidR="00BA02B9" w:rsidP="00D31673" w:rsidRDefault="008A5A2D" w14:paraId="2DEC4842" w14:textId="40783C9D">
            <w:pPr>
              <w:shd w:val="clear" w:color="auto" w:fill="FFFFFF"/>
              <w:textAlignment w:val="baseline"/>
              <w:rPr>
                <w:rFonts w:ascii="Twinkl" w:hAnsi="Twinkl" w:eastAsia="Times New Roman" w:cstheme="minorHAnsi"/>
                <w:color w:val="000000" w:themeColor="text1"/>
                <w:sz w:val="20"/>
                <w:szCs w:val="20"/>
                <w:lang w:val="en-GB" w:eastAsia="en-GB"/>
              </w:rPr>
            </w:pPr>
            <w:r w:rsidRPr="00D83AA3">
              <w:rPr>
                <w:rFonts w:ascii="Twinkl" w:hAnsi="Twinkl" w:eastAsia="Times New Roman" w:cstheme="minorHAnsi"/>
                <w:color w:val="000000" w:themeColor="text1"/>
                <w:sz w:val="20"/>
                <w:szCs w:val="20"/>
                <w:lang w:val="en-GB" w:eastAsia="en-GB"/>
              </w:rPr>
              <w:t xml:space="preserve">Red denotes </w:t>
            </w:r>
            <w:r w:rsidRPr="00D83AA3" w:rsidR="004F221E">
              <w:rPr>
                <w:rFonts w:ascii="Twinkl" w:hAnsi="Twinkl" w:eastAsia="Times New Roman" w:cstheme="minorHAnsi"/>
                <w:color w:val="000000" w:themeColor="text1"/>
                <w:sz w:val="20"/>
                <w:szCs w:val="20"/>
                <w:lang w:val="en-GB" w:eastAsia="en-GB"/>
              </w:rPr>
              <w:t>knowledge</w:t>
            </w:r>
            <w:r w:rsidRPr="00D83AA3">
              <w:rPr>
                <w:rFonts w:ascii="Twinkl" w:hAnsi="Twinkl" w:eastAsia="Times New Roman" w:cstheme="minorHAnsi"/>
                <w:color w:val="000000" w:themeColor="text1"/>
                <w:sz w:val="20"/>
                <w:szCs w:val="20"/>
                <w:lang w:val="en-GB" w:eastAsia="en-GB"/>
              </w:rPr>
              <w:t xml:space="preserve"> possibly covered in KS2</w:t>
            </w:r>
            <w:r w:rsidR="005F52F8">
              <w:rPr>
                <w:rFonts w:ascii="Twinkl" w:hAnsi="Twinkl" w:eastAsia="Times New Roman" w:cstheme="minorHAnsi"/>
                <w:color w:val="000000" w:themeColor="text1"/>
                <w:sz w:val="20"/>
                <w:szCs w:val="20"/>
                <w:lang w:val="en-GB" w:eastAsia="en-GB"/>
              </w:rPr>
              <w:t>/Y7 AUT and SPRG Term</w:t>
            </w:r>
            <w:r w:rsidRPr="00D83AA3">
              <w:rPr>
                <w:rFonts w:ascii="Twinkl" w:hAnsi="Twinkl" w:eastAsia="Times New Roman" w:cstheme="minorHAnsi"/>
                <w:color w:val="000000" w:themeColor="text1"/>
                <w:sz w:val="20"/>
                <w:szCs w:val="20"/>
                <w:lang w:val="en-GB" w:eastAsia="en-GB"/>
              </w:rPr>
              <w:t xml:space="preserve">. </w:t>
            </w:r>
          </w:p>
        </w:tc>
      </w:tr>
      <w:tr w:rsidRPr="00D83AA3" w:rsidR="00BA02B9" w:rsidTr="7A21D79B" w14:paraId="5048296D" w14:textId="77777777">
        <w:trPr>
          <w:trHeight w:val="1760"/>
        </w:trPr>
        <w:tc>
          <w:tcPr>
            <w:tcW w:w="2100" w:type="dxa"/>
            <w:shd w:val="clear" w:color="auto" w:fill="D0CECE" w:themeFill="background2" w:themeFillShade="E6"/>
            <w:tcMar/>
            <w:vAlign w:val="center"/>
          </w:tcPr>
          <w:p w:rsidRPr="00D83AA3" w:rsidR="00BA02B9" w:rsidP="00BA45DC" w:rsidRDefault="00BA02B9" w14:paraId="1AC9017D" w14:textId="2F0F8299">
            <w:pPr>
              <w:jc w:val="center"/>
              <w:rPr>
                <w:rFonts w:ascii="Twinkl" w:hAnsi="Twinkl"/>
                <w:b/>
              </w:rPr>
            </w:pPr>
            <w:r w:rsidRPr="00D83AA3">
              <w:rPr>
                <w:rFonts w:ascii="Twinkl" w:hAnsi="Twinkl"/>
                <w:b/>
              </w:rPr>
              <w:t>Learning Outcomes (</w:t>
            </w:r>
            <w:r w:rsidR="00953256">
              <w:rPr>
                <w:rFonts w:ascii="Twinkl" w:hAnsi="Twinkl"/>
                <w:b/>
              </w:rPr>
              <w:t>Most powerful k</w:t>
            </w:r>
            <w:r w:rsidRPr="00D83AA3">
              <w:rPr>
                <w:rFonts w:ascii="Twinkl" w:hAnsi="Twinkl"/>
                <w:b/>
              </w:rPr>
              <w:t>nowledge</w:t>
            </w:r>
            <w:r w:rsidRPr="00D83AA3" w:rsidR="00D80B59">
              <w:rPr>
                <w:rFonts w:ascii="Twinkl" w:hAnsi="Twinkl"/>
                <w:b/>
              </w:rPr>
              <w:t>)</w:t>
            </w:r>
          </w:p>
        </w:tc>
        <w:tc>
          <w:tcPr>
            <w:tcW w:w="8952" w:type="dxa"/>
            <w:gridSpan w:val="2"/>
            <w:vMerge/>
            <w:tcMar/>
            <w:vAlign w:val="center"/>
          </w:tcPr>
          <w:p w:rsidRPr="00D83AA3" w:rsidR="00BA02B9" w:rsidP="00BA45DC" w:rsidRDefault="00BA02B9" w14:paraId="2C4AE537" w14:textId="77777777">
            <w:pPr>
              <w:pStyle w:val="ListParagraph"/>
              <w:ind w:left="0"/>
              <w:rPr>
                <w:rFonts w:ascii="Twinkl" w:hAnsi="Twinkl"/>
                <w:bCs/>
                <w:sz w:val="20"/>
                <w:szCs w:val="20"/>
              </w:rPr>
            </w:pPr>
          </w:p>
        </w:tc>
      </w:tr>
      <w:tr w:rsidRPr="003854B7" w:rsidR="00BA02B9" w:rsidTr="7A21D79B" w14:paraId="32F0C16B" w14:textId="77777777">
        <w:trPr>
          <w:trHeight w:val="334"/>
        </w:trPr>
        <w:tc>
          <w:tcPr>
            <w:tcW w:w="2100" w:type="dxa"/>
            <w:shd w:val="clear" w:color="auto" w:fill="D0CECE" w:themeFill="background2" w:themeFillShade="E6"/>
            <w:tcMar/>
            <w:vAlign w:val="center"/>
          </w:tcPr>
          <w:p w:rsidRPr="00D83AA3" w:rsidR="00203357" w:rsidP="00BA45DC" w:rsidRDefault="00203357" w14:paraId="0899B56F" w14:textId="38EE6F0C">
            <w:pPr>
              <w:jc w:val="center"/>
              <w:rPr>
                <w:rFonts w:ascii="Twinkl" w:hAnsi="Twinkl"/>
                <w:b/>
              </w:rPr>
            </w:pPr>
            <w:r w:rsidRPr="00D83AA3">
              <w:rPr>
                <w:rFonts w:ascii="Twinkl" w:hAnsi="Twinkl"/>
                <w:b/>
              </w:rPr>
              <w:t>Learning</w:t>
            </w:r>
            <w:r w:rsidRPr="00D83AA3">
              <w:rPr>
                <w:rFonts w:ascii="Twinkl" w:hAnsi="Twinkl"/>
                <w:b/>
                <w:sz w:val="28"/>
                <w:szCs w:val="28"/>
              </w:rPr>
              <w:t xml:space="preserve"> </w:t>
            </w:r>
            <w:r w:rsidRPr="00D83AA3">
              <w:rPr>
                <w:rFonts w:ascii="Twinkl" w:hAnsi="Twinkl"/>
                <w:b/>
              </w:rPr>
              <w:t>Outcomes</w:t>
            </w:r>
          </w:p>
          <w:p w:rsidRPr="00D83AA3" w:rsidR="00203357" w:rsidP="00BA45DC" w:rsidRDefault="00203357" w14:paraId="0BD219A7" w14:textId="77777777">
            <w:pPr>
              <w:jc w:val="center"/>
              <w:rPr>
                <w:rFonts w:ascii="Twinkl" w:hAnsi="Twinkl"/>
                <w:b/>
              </w:rPr>
            </w:pPr>
            <w:r w:rsidRPr="00D83AA3">
              <w:rPr>
                <w:rFonts w:ascii="Twinkl" w:hAnsi="Twinkl"/>
                <w:b/>
              </w:rPr>
              <w:t>(Grammar)</w:t>
            </w:r>
          </w:p>
          <w:p w:rsidRPr="00D83AA3" w:rsidR="00203357" w:rsidP="00BA45DC" w:rsidRDefault="00203357" w14:paraId="7E9CFCDF" w14:textId="77777777">
            <w:pPr>
              <w:jc w:val="center"/>
              <w:rPr>
                <w:rFonts w:ascii="Twinkl" w:hAnsi="Twinkl"/>
                <w:b/>
                <w:sz w:val="28"/>
                <w:szCs w:val="28"/>
              </w:rPr>
            </w:pPr>
          </w:p>
        </w:tc>
        <w:tc>
          <w:tcPr>
            <w:tcW w:w="8952" w:type="dxa"/>
            <w:gridSpan w:val="2"/>
            <w:tcMar/>
          </w:tcPr>
          <w:p w:rsidR="005F52F8" w:rsidP="005F52F8" w:rsidRDefault="005F52F8" w14:paraId="29E5D92B" w14:textId="5FBA1D10">
            <w:pPr>
              <w:shd w:val="clear" w:color="auto" w:fill="FFFFFF"/>
              <w:textAlignment w:val="baseline"/>
              <w:rPr>
                <w:rFonts w:ascii="Twinkl" w:hAnsi="Twinkl" w:eastAsia="Times New Roman" w:cstheme="minorHAnsi"/>
                <w:color w:val="000000" w:themeColor="text1"/>
                <w:sz w:val="20"/>
                <w:szCs w:val="20"/>
                <w:lang w:val="en-GB" w:eastAsia="en-GB"/>
              </w:rPr>
            </w:pPr>
            <w:r w:rsidRPr="005F52F8">
              <w:rPr>
                <w:rFonts w:ascii="Twinkl" w:hAnsi="Twinkl" w:eastAsia="Times New Roman" w:cstheme="minorHAnsi"/>
                <w:color w:val="000000" w:themeColor="text1"/>
                <w:sz w:val="20"/>
                <w:szCs w:val="20"/>
                <w:lang w:val="en-GB" w:eastAsia="en-GB"/>
              </w:rPr>
              <w:t xml:space="preserve">Red denotes knowledge possibly covered in KS2/Y7 AUT and SPRG Term. </w:t>
            </w:r>
          </w:p>
          <w:p w:rsidR="00C768E1" w:rsidP="005F52F8" w:rsidRDefault="00FE4ECE" w14:paraId="66C8927A" w14:textId="77777777">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 xml:space="preserve">Conjugating -er and -ir verbs in the present tense </w:t>
            </w:r>
          </w:p>
          <w:p w:rsidR="00FE4ECE" w:rsidP="005F52F8" w:rsidRDefault="00FE4ECE" w14:paraId="73D73939" w14:textId="77777777">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 xml:space="preserve">Using the verb estar to describe location </w:t>
            </w:r>
          </w:p>
          <w:p w:rsidRPr="00860CFC" w:rsidR="00FE4ECE" w:rsidP="005F52F8" w:rsidRDefault="00FE4ECE" w14:paraId="1A961860" w14:textId="77777777">
            <w:pPr>
              <w:pStyle w:val="ListParagraph"/>
              <w:numPr>
                <w:ilvl w:val="0"/>
                <w:numId w:val="32"/>
              </w:numPr>
              <w:shd w:val="clear" w:color="auto" w:fill="FFFFFF"/>
              <w:textAlignment w:val="baseline"/>
              <w:rPr>
                <w:rFonts w:ascii="Twinkl" w:hAnsi="Twinkl" w:eastAsia="Times New Roman" w:cstheme="minorHAnsi"/>
                <w:color w:val="FF0000"/>
                <w:sz w:val="20"/>
                <w:szCs w:val="20"/>
                <w:lang w:val="de-DE" w:eastAsia="en-GB"/>
              </w:rPr>
            </w:pPr>
            <w:r w:rsidRPr="00860CFC">
              <w:rPr>
                <w:rFonts w:ascii="Twinkl" w:hAnsi="Twinkl" w:eastAsia="Times New Roman" w:cstheme="minorHAnsi"/>
                <w:color w:val="FF0000"/>
                <w:sz w:val="20"/>
                <w:szCs w:val="20"/>
                <w:lang w:val="de-DE" w:eastAsia="en-GB"/>
              </w:rPr>
              <w:t xml:space="preserve">Adjectival agreement </w:t>
            </w:r>
          </w:p>
          <w:p w:rsidR="00FE4ECE" w:rsidP="005F52F8" w:rsidRDefault="00C8751C" w14:paraId="775B091D" w14:textId="77777777">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sidRPr="00860CFC">
              <w:rPr>
                <w:rFonts w:ascii="Twinkl" w:hAnsi="Twinkl" w:eastAsia="Times New Roman" w:cstheme="minorHAnsi"/>
                <w:color w:val="FF0000"/>
                <w:sz w:val="20"/>
                <w:szCs w:val="20"/>
                <w:lang w:val="de-DE" w:eastAsia="en-GB"/>
              </w:rPr>
              <w:t xml:space="preserve">Using a, some </w:t>
            </w:r>
            <w:r>
              <w:rPr>
                <w:rFonts w:ascii="Twinkl" w:hAnsi="Twinkl" w:eastAsia="Times New Roman" w:cstheme="minorHAnsi"/>
                <w:sz w:val="20"/>
                <w:szCs w:val="20"/>
                <w:lang w:val="de-DE" w:eastAsia="en-GB"/>
              </w:rPr>
              <w:t xml:space="preserve">and many </w:t>
            </w:r>
          </w:p>
          <w:p w:rsidR="00C8751C" w:rsidP="005F52F8" w:rsidRDefault="00F20FFF" w14:paraId="653A729E" w14:textId="77777777">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 xml:space="preserve">Imperatives </w:t>
            </w:r>
          </w:p>
          <w:p w:rsidR="00F20FFF" w:rsidP="005F52F8" w:rsidRDefault="00F20FFF" w14:paraId="6E5EE693" w14:textId="77777777">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Using the verb ir in the present tense</w:t>
            </w:r>
          </w:p>
          <w:p w:rsidR="00EB149A" w:rsidP="00EB149A" w:rsidRDefault="00EB149A" w14:paraId="0F3FD4B3" w14:textId="77777777">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 xml:space="preserve">A + el = al </w:t>
            </w:r>
          </w:p>
          <w:p w:rsidR="00EB149A" w:rsidP="00EB149A" w:rsidRDefault="00EB149A" w14:paraId="7FD655EE" w14:textId="77777777">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 xml:space="preserve">Using the verb querer </w:t>
            </w:r>
          </w:p>
          <w:p w:rsidRPr="00EB149A" w:rsidR="00EB149A" w:rsidP="00EB149A" w:rsidRDefault="00860CFC" w14:paraId="679DFC9B" w14:textId="5042C6BA">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The near future tense</w:t>
            </w:r>
          </w:p>
        </w:tc>
      </w:tr>
      <w:tr w:rsidRPr="00D83AA3" w:rsidR="00D85601" w:rsidTr="7A21D79B" w14:paraId="34B14AE7" w14:textId="77777777">
        <w:trPr>
          <w:trHeight w:val="334"/>
        </w:trPr>
        <w:tc>
          <w:tcPr>
            <w:tcW w:w="2100" w:type="dxa"/>
            <w:shd w:val="clear" w:color="auto" w:fill="D0CECE" w:themeFill="background2" w:themeFillShade="E6"/>
            <w:tcMar/>
            <w:vAlign w:val="center"/>
          </w:tcPr>
          <w:p w:rsidRPr="00D83AA3" w:rsidR="00D85601" w:rsidP="00BA45DC" w:rsidRDefault="00144700" w14:paraId="744A56DB" w14:textId="297A2CA1">
            <w:pPr>
              <w:jc w:val="center"/>
              <w:rPr>
                <w:rFonts w:ascii="Twinkl" w:hAnsi="Twinkl"/>
                <w:b/>
              </w:rPr>
            </w:pPr>
            <w:r w:rsidRPr="00D83AA3">
              <w:rPr>
                <w:rFonts w:ascii="Twinkl" w:hAnsi="Twinkl"/>
                <w:b/>
              </w:rPr>
              <w:t>Current learning to be developed in the future within:</w:t>
            </w:r>
          </w:p>
        </w:tc>
        <w:tc>
          <w:tcPr>
            <w:tcW w:w="8952" w:type="dxa"/>
            <w:gridSpan w:val="2"/>
            <w:shd w:val="clear" w:color="auto" w:fill="FFFFFF" w:themeFill="background1"/>
            <w:tcMar/>
          </w:tcPr>
          <w:p w:rsidRPr="00D83AA3" w:rsidR="0071084E" w:rsidP="0071084E" w:rsidRDefault="00860CFC" w14:paraId="1E802251" w14:textId="6F226CD5">
            <w:pPr>
              <w:pStyle w:val="ListParagraph"/>
              <w:numPr>
                <w:ilvl w:val="0"/>
                <w:numId w:val="31"/>
              </w:numPr>
              <w:shd w:val="clear" w:color="auto" w:fill="FFFFFF"/>
              <w:textAlignment w:val="baseline"/>
              <w:rPr>
                <w:rFonts w:ascii="Twinkl" w:hAnsi="Twinkl" w:eastAsia="Times New Roman" w:cstheme="minorHAnsi"/>
                <w:sz w:val="20"/>
                <w:szCs w:val="20"/>
                <w:lang w:val="en-GB" w:eastAsia="en-GB"/>
              </w:rPr>
            </w:pPr>
            <w:r>
              <w:rPr>
                <w:rFonts w:ascii="Twinkl" w:hAnsi="Twinkl" w:eastAsia="Times New Roman" w:cstheme="minorHAnsi"/>
                <w:sz w:val="20"/>
                <w:szCs w:val="20"/>
                <w:lang w:val="en-GB" w:eastAsia="en-GB"/>
              </w:rPr>
              <w:t>All grammar to be recapped throughout KS3</w:t>
            </w:r>
          </w:p>
        </w:tc>
      </w:tr>
      <w:tr w:rsidRPr="00D83AA3" w:rsidR="00BA02B9" w:rsidTr="7A21D79B" w14:paraId="3B89946A" w14:textId="77777777">
        <w:trPr>
          <w:trHeight w:val="247"/>
        </w:trPr>
        <w:tc>
          <w:tcPr>
            <w:tcW w:w="2100" w:type="dxa"/>
            <w:shd w:val="clear" w:color="auto" w:fill="000000" w:themeFill="text1"/>
            <w:tcMar/>
            <w:vAlign w:val="center"/>
          </w:tcPr>
          <w:p w:rsidRPr="00D83AA3" w:rsidR="00BA02B9" w:rsidP="00BA45DC" w:rsidRDefault="00BA02B9" w14:paraId="38DC3054" w14:textId="6962CF9D">
            <w:pPr>
              <w:jc w:val="center"/>
              <w:rPr>
                <w:rFonts w:ascii="Twinkl" w:hAnsi="Twinkl"/>
                <w:b/>
                <w:sz w:val="28"/>
                <w:szCs w:val="28"/>
              </w:rPr>
            </w:pPr>
            <w:r w:rsidRPr="00D83AA3">
              <w:rPr>
                <w:rFonts w:ascii="Twinkl" w:hAnsi="Twinkl"/>
                <w:b/>
              </w:rPr>
              <w:t>Impact</w:t>
            </w:r>
          </w:p>
        </w:tc>
        <w:tc>
          <w:tcPr>
            <w:tcW w:w="8952" w:type="dxa"/>
            <w:gridSpan w:val="2"/>
            <w:vMerge w:val="restart"/>
            <w:tcMar/>
            <w:vAlign w:val="center"/>
          </w:tcPr>
          <w:p w:rsidRPr="00D83AA3" w:rsidR="00BA02B9" w:rsidP="007B5C99" w:rsidRDefault="007B5C99" w14:paraId="7236CDFF" w14:textId="30D6648A">
            <w:pPr>
              <w:shd w:val="clear" w:color="auto" w:fill="FFFFFF"/>
              <w:textAlignment w:val="baseline"/>
              <w:rPr>
                <w:rFonts w:ascii="Twinkl" w:hAnsi="Twinkl" w:eastAsia="Times New Roman" w:cstheme="minorHAnsi"/>
                <w:b/>
                <w:bCs/>
                <w:sz w:val="20"/>
                <w:szCs w:val="20"/>
                <w:lang w:val="en-GB" w:eastAsia="en-GB"/>
              </w:rPr>
            </w:pPr>
            <w:r w:rsidRPr="00D83AA3">
              <w:rPr>
                <w:rFonts w:ascii="Twinkl" w:hAnsi="Twinkl" w:eastAsia="Times New Roman" w:cstheme="minorHAnsi"/>
                <w:b/>
                <w:bCs/>
                <w:lang w:val="en-GB" w:eastAsia="en-GB"/>
              </w:rPr>
              <w:t>See assessment map</w:t>
            </w:r>
          </w:p>
        </w:tc>
      </w:tr>
      <w:tr w:rsidRPr="00D83AA3" w:rsidR="00BA02B9" w:rsidTr="7A21D79B" w14:paraId="4E93B58C" w14:textId="77777777">
        <w:trPr>
          <w:trHeight w:val="399"/>
        </w:trPr>
        <w:tc>
          <w:tcPr>
            <w:tcW w:w="2100" w:type="dxa"/>
            <w:shd w:val="clear" w:color="auto" w:fill="D0CECE" w:themeFill="background2" w:themeFillShade="E6"/>
            <w:tcMar/>
            <w:vAlign w:val="center"/>
          </w:tcPr>
          <w:p w:rsidRPr="00D83AA3" w:rsidR="00BA02B9" w:rsidP="007B5C99" w:rsidRDefault="00BA02B9" w14:paraId="4D5E7D1F" w14:textId="3E726452">
            <w:pPr>
              <w:jc w:val="center"/>
              <w:rPr>
                <w:rFonts w:ascii="Twinkl" w:hAnsi="Twinkl"/>
                <w:b/>
              </w:rPr>
            </w:pPr>
            <w:r w:rsidRPr="00D83AA3">
              <w:rPr>
                <w:rFonts w:ascii="Twinkl" w:hAnsi="Twinkl"/>
                <w:b/>
              </w:rPr>
              <w:t>Assessment</w:t>
            </w:r>
          </w:p>
        </w:tc>
        <w:tc>
          <w:tcPr>
            <w:tcW w:w="8952" w:type="dxa"/>
            <w:gridSpan w:val="2"/>
            <w:vMerge/>
            <w:tcMar/>
            <w:vAlign w:val="center"/>
          </w:tcPr>
          <w:p w:rsidRPr="00D83AA3" w:rsidR="00BA02B9" w:rsidP="00BA45DC" w:rsidRDefault="00BA02B9" w14:paraId="3CF2EDA5" w14:textId="77777777">
            <w:pPr>
              <w:pStyle w:val="ListParagraph"/>
              <w:ind w:left="0"/>
              <w:rPr>
                <w:rFonts w:ascii="Twinkl" w:hAnsi="Twinkl"/>
                <w:bCs/>
                <w:sz w:val="20"/>
                <w:szCs w:val="20"/>
              </w:rPr>
            </w:pPr>
          </w:p>
        </w:tc>
      </w:tr>
    </w:tbl>
    <w:p w:rsidRPr="00D83AA3" w:rsidR="001A2071" w:rsidP="003B2F64" w:rsidRDefault="001A2071" w14:paraId="7385669B" w14:textId="77777777">
      <w:pPr>
        <w:rPr>
          <w:rFonts w:ascii="Twinkl" w:hAnsi="Twinkl"/>
          <w:sz w:val="28"/>
          <w:szCs w:val="28"/>
        </w:rPr>
      </w:pPr>
    </w:p>
    <w:sectPr w:rsidRPr="00D83AA3"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256DB" w:rsidP="00C40517" w:rsidRDefault="008256DB" w14:paraId="08C5F386" w14:textId="77777777">
      <w:r>
        <w:separator/>
      </w:r>
    </w:p>
  </w:endnote>
  <w:endnote w:type="continuationSeparator" w:id="0">
    <w:p w:rsidR="008256DB" w:rsidP="00C40517" w:rsidRDefault="008256DB" w14:paraId="2647FCAF" w14:textId="77777777">
      <w:r>
        <w:continuationSeparator/>
      </w:r>
    </w:p>
  </w:endnote>
  <w:endnote w:type="continuationNotice" w:id="1">
    <w:p w:rsidR="008256DB" w:rsidRDefault="008256DB" w14:paraId="77CF0F6F"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256DB" w:rsidP="00C40517" w:rsidRDefault="008256DB" w14:paraId="48F037B8" w14:textId="77777777">
      <w:r>
        <w:separator/>
      </w:r>
    </w:p>
  </w:footnote>
  <w:footnote w:type="continuationSeparator" w:id="0">
    <w:p w:rsidR="008256DB" w:rsidP="00C40517" w:rsidRDefault="008256DB" w14:paraId="1D56EA4B" w14:textId="77777777">
      <w:r>
        <w:continuationSeparator/>
      </w:r>
    </w:p>
  </w:footnote>
  <w:footnote w:type="continuationNotice" w:id="1">
    <w:p w:rsidR="008256DB" w:rsidRDefault="008256DB" w14:paraId="4E266A97"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32655A4"/>
    <w:multiLevelType w:val="hybridMultilevel"/>
    <w:tmpl w:val="E5F2286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8"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272C7E41"/>
    <w:multiLevelType w:val="hybridMultilevel"/>
    <w:tmpl w:val="A73409B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6" w15:restartNumberingAfterBreak="0">
    <w:nsid w:val="29A83BA1"/>
    <w:multiLevelType w:val="hybridMultilevel"/>
    <w:tmpl w:val="36FE20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20"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2"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7" w15:restartNumberingAfterBreak="0">
    <w:nsid w:val="58A16E62"/>
    <w:multiLevelType w:val="hybridMultilevel"/>
    <w:tmpl w:val="C7128BD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3"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4"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5"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6"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1205407354">
    <w:abstractNumId w:val="5"/>
  </w:num>
  <w:num w:numId="2" w16cid:durableId="2119793643">
    <w:abstractNumId w:val="2"/>
  </w:num>
  <w:num w:numId="3" w16cid:durableId="536547493">
    <w:abstractNumId w:val="31"/>
  </w:num>
  <w:num w:numId="4" w16cid:durableId="114981818">
    <w:abstractNumId w:val="36"/>
  </w:num>
  <w:num w:numId="5" w16cid:durableId="1800490020">
    <w:abstractNumId w:val="12"/>
  </w:num>
  <w:num w:numId="6" w16cid:durableId="1902131214">
    <w:abstractNumId w:val="18"/>
  </w:num>
  <w:num w:numId="7" w16cid:durableId="491914502">
    <w:abstractNumId w:val="30"/>
  </w:num>
  <w:num w:numId="8" w16cid:durableId="797652139">
    <w:abstractNumId w:val="16"/>
  </w:num>
  <w:num w:numId="9" w16cid:durableId="1011417869">
    <w:abstractNumId w:val="24"/>
  </w:num>
  <w:num w:numId="10" w16cid:durableId="1170752535">
    <w:abstractNumId w:val="0"/>
  </w:num>
  <w:num w:numId="11" w16cid:durableId="825898341">
    <w:abstractNumId w:val="35"/>
  </w:num>
  <w:num w:numId="12" w16cid:durableId="1433167752">
    <w:abstractNumId w:val="14"/>
  </w:num>
  <w:num w:numId="13" w16cid:durableId="755399640">
    <w:abstractNumId w:val="32"/>
  </w:num>
  <w:num w:numId="14" w16cid:durableId="602298377">
    <w:abstractNumId w:val="8"/>
  </w:num>
  <w:num w:numId="15" w16cid:durableId="1866207274">
    <w:abstractNumId w:val="33"/>
  </w:num>
  <w:num w:numId="16" w16cid:durableId="877006716">
    <w:abstractNumId w:val="20"/>
  </w:num>
  <w:num w:numId="17" w16cid:durableId="732462476">
    <w:abstractNumId w:val="11"/>
  </w:num>
  <w:num w:numId="18" w16cid:durableId="815730146">
    <w:abstractNumId w:val="22"/>
  </w:num>
  <w:num w:numId="19" w16cid:durableId="1157041364">
    <w:abstractNumId w:val="34"/>
  </w:num>
  <w:num w:numId="20" w16cid:durableId="177087717">
    <w:abstractNumId w:val="1"/>
  </w:num>
  <w:num w:numId="21" w16cid:durableId="71702106">
    <w:abstractNumId w:val="10"/>
  </w:num>
  <w:num w:numId="22" w16cid:durableId="1952858324">
    <w:abstractNumId w:val="17"/>
  </w:num>
  <w:num w:numId="23" w16cid:durableId="1805080397">
    <w:abstractNumId w:val="25"/>
  </w:num>
  <w:num w:numId="24" w16cid:durableId="1308902736">
    <w:abstractNumId w:val="23"/>
  </w:num>
  <w:num w:numId="25" w16cid:durableId="1608853575">
    <w:abstractNumId w:val="3"/>
  </w:num>
  <w:num w:numId="26" w16cid:durableId="2122189169">
    <w:abstractNumId w:val="28"/>
  </w:num>
  <w:num w:numId="27" w16cid:durableId="904224934">
    <w:abstractNumId w:val="19"/>
  </w:num>
  <w:num w:numId="28" w16cid:durableId="845363126">
    <w:abstractNumId w:val="29"/>
  </w:num>
  <w:num w:numId="29" w16cid:durableId="840462884">
    <w:abstractNumId w:val="7"/>
  </w:num>
  <w:num w:numId="30" w16cid:durableId="89745793">
    <w:abstractNumId w:val="6"/>
  </w:num>
  <w:num w:numId="31" w16cid:durableId="588538741">
    <w:abstractNumId w:val="26"/>
  </w:num>
  <w:num w:numId="32" w16cid:durableId="2090345617">
    <w:abstractNumId w:val="15"/>
  </w:num>
  <w:num w:numId="33" w16cid:durableId="551579070">
    <w:abstractNumId w:val="9"/>
  </w:num>
  <w:num w:numId="34" w16cid:durableId="1376153687">
    <w:abstractNumId w:val="21"/>
  </w:num>
  <w:num w:numId="35" w16cid:durableId="1712724463">
    <w:abstractNumId w:val="13"/>
  </w:num>
  <w:num w:numId="36" w16cid:durableId="260988949">
    <w:abstractNumId w:val="27"/>
  </w:num>
  <w:num w:numId="37" w16cid:durableId="982974623">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2731C"/>
    <w:rsid w:val="00027B37"/>
    <w:rsid w:val="00040A4D"/>
    <w:rsid w:val="00045D26"/>
    <w:rsid w:val="00045FE2"/>
    <w:rsid w:val="00050AF4"/>
    <w:rsid w:val="00053D58"/>
    <w:rsid w:val="00063767"/>
    <w:rsid w:val="00064F90"/>
    <w:rsid w:val="00072716"/>
    <w:rsid w:val="0007431D"/>
    <w:rsid w:val="00081294"/>
    <w:rsid w:val="00084E42"/>
    <w:rsid w:val="00090562"/>
    <w:rsid w:val="00091402"/>
    <w:rsid w:val="00093571"/>
    <w:rsid w:val="000947D1"/>
    <w:rsid w:val="00096068"/>
    <w:rsid w:val="0009714D"/>
    <w:rsid w:val="000A08F6"/>
    <w:rsid w:val="000A7EC8"/>
    <w:rsid w:val="000B4866"/>
    <w:rsid w:val="000B66A0"/>
    <w:rsid w:val="000C069B"/>
    <w:rsid w:val="000C2598"/>
    <w:rsid w:val="000C3EA0"/>
    <w:rsid w:val="000D0B30"/>
    <w:rsid w:val="000D7826"/>
    <w:rsid w:val="000E10CD"/>
    <w:rsid w:val="000E1610"/>
    <w:rsid w:val="000E2AD3"/>
    <w:rsid w:val="000E2CB4"/>
    <w:rsid w:val="000E594F"/>
    <w:rsid w:val="000E63BF"/>
    <w:rsid w:val="000F44BB"/>
    <w:rsid w:val="000F66FD"/>
    <w:rsid w:val="00101B0B"/>
    <w:rsid w:val="00105488"/>
    <w:rsid w:val="00107047"/>
    <w:rsid w:val="00107925"/>
    <w:rsid w:val="00112F5E"/>
    <w:rsid w:val="001166B2"/>
    <w:rsid w:val="00120178"/>
    <w:rsid w:val="00122E65"/>
    <w:rsid w:val="00127DA8"/>
    <w:rsid w:val="0013101F"/>
    <w:rsid w:val="00131458"/>
    <w:rsid w:val="00134870"/>
    <w:rsid w:val="00137523"/>
    <w:rsid w:val="0014126B"/>
    <w:rsid w:val="00142C37"/>
    <w:rsid w:val="00143C54"/>
    <w:rsid w:val="00144682"/>
    <w:rsid w:val="00144700"/>
    <w:rsid w:val="00146304"/>
    <w:rsid w:val="001505D2"/>
    <w:rsid w:val="001550CB"/>
    <w:rsid w:val="00157618"/>
    <w:rsid w:val="00157E7F"/>
    <w:rsid w:val="00161A80"/>
    <w:rsid w:val="001667D7"/>
    <w:rsid w:val="00166F04"/>
    <w:rsid w:val="00173500"/>
    <w:rsid w:val="00175C24"/>
    <w:rsid w:val="00177542"/>
    <w:rsid w:val="001775EB"/>
    <w:rsid w:val="00177705"/>
    <w:rsid w:val="00181AE0"/>
    <w:rsid w:val="00190056"/>
    <w:rsid w:val="00190D22"/>
    <w:rsid w:val="00193CD2"/>
    <w:rsid w:val="00194CEB"/>
    <w:rsid w:val="001A2071"/>
    <w:rsid w:val="001A25A7"/>
    <w:rsid w:val="001A539C"/>
    <w:rsid w:val="001B600C"/>
    <w:rsid w:val="001C02FD"/>
    <w:rsid w:val="001C1E29"/>
    <w:rsid w:val="001C2B59"/>
    <w:rsid w:val="001D5F1C"/>
    <w:rsid w:val="001E5920"/>
    <w:rsid w:val="001E7EE4"/>
    <w:rsid w:val="001F5721"/>
    <w:rsid w:val="001F707F"/>
    <w:rsid w:val="00200ECC"/>
    <w:rsid w:val="00201475"/>
    <w:rsid w:val="00203357"/>
    <w:rsid w:val="00210409"/>
    <w:rsid w:val="002137DC"/>
    <w:rsid w:val="00215B93"/>
    <w:rsid w:val="00220867"/>
    <w:rsid w:val="00225BB7"/>
    <w:rsid w:val="0023003D"/>
    <w:rsid w:val="0023770D"/>
    <w:rsid w:val="002407F1"/>
    <w:rsid w:val="00243B0D"/>
    <w:rsid w:val="00243F56"/>
    <w:rsid w:val="002441BF"/>
    <w:rsid w:val="0024737E"/>
    <w:rsid w:val="0024759C"/>
    <w:rsid w:val="00254293"/>
    <w:rsid w:val="00254CD3"/>
    <w:rsid w:val="00257FFC"/>
    <w:rsid w:val="002623D2"/>
    <w:rsid w:val="00272A82"/>
    <w:rsid w:val="00277F06"/>
    <w:rsid w:val="002818A9"/>
    <w:rsid w:val="00284673"/>
    <w:rsid w:val="00285D33"/>
    <w:rsid w:val="002914EE"/>
    <w:rsid w:val="002B1863"/>
    <w:rsid w:val="002B4D99"/>
    <w:rsid w:val="002B51EF"/>
    <w:rsid w:val="002B6492"/>
    <w:rsid w:val="002C3AB4"/>
    <w:rsid w:val="002C4F6A"/>
    <w:rsid w:val="002D099A"/>
    <w:rsid w:val="002D29B6"/>
    <w:rsid w:val="002D3CBB"/>
    <w:rsid w:val="002D418E"/>
    <w:rsid w:val="002D5DFE"/>
    <w:rsid w:val="002D65B4"/>
    <w:rsid w:val="002D70E2"/>
    <w:rsid w:val="002E387C"/>
    <w:rsid w:val="002E391F"/>
    <w:rsid w:val="002F366A"/>
    <w:rsid w:val="003010A9"/>
    <w:rsid w:val="003253E8"/>
    <w:rsid w:val="003254EB"/>
    <w:rsid w:val="00325AD9"/>
    <w:rsid w:val="00326025"/>
    <w:rsid w:val="00330A2C"/>
    <w:rsid w:val="00330A47"/>
    <w:rsid w:val="00331987"/>
    <w:rsid w:val="00334EAC"/>
    <w:rsid w:val="00335DD3"/>
    <w:rsid w:val="0033608D"/>
    <w:rsid w:val="00336387"/>
    <w:rsid w:val="003501FF"/>
    <w:rsid w:val="0036005A"/>
    <w:rsid w:val="00361053"/>
    <w:rsid w:val="00365F74"/>
    <w:rsid w:val="00371884"/>
    <w:rsid w:val="003740DC"/>
    <w:rsid w:val="003757D5"/>
    <w:rsid w:val="00380E4A"/>
    <w:rsid w:val="00380FED"/>
    <w:rsid w:val="003854B7"/>
    <w:rsid w:val="00387EAA"/>
    <w:rsid w:val="003A43AE"/>
    <w:rsid w:val="003A6607"/>
    <w:rsid w:val="003B2F64"/>
    <w:rsid w:val="003B4C75"/>
    <w:rsid w:val="003B4EB6"/>
    <w:rsid w:val="003C1B98"/>
    <w:rsid w:val="003C3EC5"/>
    <w:rsid w:val="003C7CA1"/>
    <w:rsid w:val="003D6370"/>
    <w:rsid w:val="003E3FC6"/>
    <w:rsid w:val="003F0557"/>
    <w:rsid w:val="00403FDC"/>
    <w:rsid w:val="0041186C"/>
    <w:rsid w:val="0041506E"/>
    <w:rsid w:val="0041543F"/>
    <w:rsid w:val="00415E35"/>
    <w:rsid w:val="00421150"/>
    <w:rsid w:val="00431B81"/>
    <w:rsid w:val="00432A43"/>
    <w:rsid w:val="00435DE0"/>
    <w:rsid w:val="0043781D"/>
    <w:rsid w:val="00441EB1"/>
    <w:rsid w:val="00442340"/>
    <w:rsid w:val="0045049B"/>
    <w:rsid w:val="00450C61"/>
    <w:rsid w:val="004568D2"/>
    <w:rsid w:val="00464DD2"/>
    <w:rsid w:val="00472411"/>
    <w:rsid w:val="00483BC5"/>
    <w:rsid w:val="00485490"/>
    <w:rsid w:val="00486A9D"/>
    <w:rsid w:val="00490521"/>
    <w:rsid w:val="004908D2"/>
    <w:rsid w:val="00492331"/>
    <w:rsid w:val="00495F15"/>
    <w:rsid w:val="00496D25"/>
    <w:rsid w:val="004A1FAE"/>
    <w:rsid w:val="004A2735"/>
    <w:rsid w:val="004A3A38"/>
    <w:rsid w:val="004B5011"/>
    <w:rsid w:val="004B7E71"/>
    <w:rsid w:val="004C012B"/>
    <w:rsid w:val="004C2CBB"/>
    <w:rsid w:val="004C3263"/>
    <w:rsid w:val="004C7A02"/>
    <w:rsid w:val="004D5718"/>
    <w:rsid w:val="004D5EC0"/>
    <w:rsid w:val="004D62EC"/>
    <w:rsid w:val="004D7D5F"/>
    <w:rsid w:val="004E3020"/>
    <w:rsid w:val="004F127C"/>
    <w:rsid w:val="004F221E"/>
    <w:rsid w:val="00506C59"/>
    <w:rsid w:val="00507BA3"/>
    <w:rsid w:val="00511106"/>
    <w:rsid w:val="00514299"/>
    <w:rsid w:val="00523564"/>
    <w:rsid w:val="00523EF1"/>
    <w:rsid w:val="00524178"/>
    <w:rsid w:val="00527C58"/>
    <w:rsid w:val="00535341"/>
    <w:rsid w:val="005358FA"/>
    <w:rsid w:val="00542312"/>
    <w:rsid w:val="00554C8D"/>
    <w:rsid w:val="00557762"/>
    <w:rsid w:val="00560FA3"/>
    <w:rsid w:val="0056167A"/>
    <w:rsid w:val="0056273A"/>
    <w:rsid w:val="0056285A"/>
    <w:rsid w:val="0056756D"/>
    <w:rsid w:val="00571269"/>
    <w:rsid w:val="005716EB"/>
    <w:rsid w:val="00575AA4"/>
    <w:rsid w:val="0058379D"/>
    <w:rsid w:val="0059075A"/>
    <w:rsid w:val="0059398E"/>
    <w:rsid w:val="00597E30"/>
    <w:rsid w:val="005A237C"/>
    <w:rsid w:val="005B2E13"/>
    <w:rsid w:val="005B3278"/>
    <w:rsid w:val="005B6401"/>
    <w:rsid w:val="005C473C"/>
    <w:rsid w:val="005C6427"/>
    <w:rsid w:val="005D1966"/>
    <w:rsid w:val="005D490E"/>
    <w:rsid w:val="005E0A4B"/>
    <w:rsid w:val="005E1422"/>
    <w:rsid w:val="005E192E"/>
    <w:rsid w:val="005E6168"/>
    <w:rsid w:val="005F190D"/>
    <w:rsid w:val="005F52F8"/>
    <w:rsid w:val="005F673C"/>
    <w:rsid w:val="005F6E3F"/>
    <w:rsid w:val="005F7CF3"/>
    <w:rsid w:val="006079E4"/>
    <w:rsid w:val="006208F3"/>
    <w:rsid w:val="00625D91"/>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66C4"/>
    <w:rsid w:val="00687209"/>
    <w:rsid w:val="00691174"/>
    <w:rsid w:val="00692DA2"/>
    <w:rsid w:val="0069327B"/>
    <w:rsid w:val="006A0F9B"/>
    <w:rsid w:val="006A74E0"/>
    <w:rsid w:val="006B672F"/>
    <w:rsid w:val="006B6DED"/>
    <w:rsid w:val="006C45ED"/>
    <w:rsid w:val="006D13B2"/>
    <w:rsid w:val="006D2E0C"/>
    <w:rsid w:val="006D2EDB"/>
    <w:rsid w:val="006D58AC"/>
    <w:rsid w:val="006E0D54"/>
    <w:rsid w:val="006E1EDC"/>
    <w:rsid w:val="006E64C8"/>
    <w:rsid w:val="006F2F4D"/>
    <w:rsid w:val="006F44CC"/>
    <w:rsid w:val="006F48EE"/>
    <w:rsid w:val="006F53AB"/>
    <w:rsid w:val="006F6F5E"/>
    <w:rsid w:val="00701DC5"/>
    <w:rsid w:val="007041FD"/>
    <w:rsid w:val="00704C47"/>
    <w:rsid w:val="0071084E"/>
    <w:rsid w:val="00715614"/>
    <w:rsid w:val="007319F8"/>
    <w:rsid w:val="0073536C"/>
    <w:rsid w:val="00736A31"/>
    <w:rsid w:val="0074386B"/>
    <w:rsid w:val="0074512E"/>
    <w:rsid w:val="00747911"/>
    <w:rsid w:val="00751FF8"/>
    <w:rsid w:val="0075230B"/>
    <w:rsid w:val="00752F67"/>
    <w:rsid w:val="00755231"/>
    <w:rsid w:val="00755354"/>
    <w:rsid w:val="00760F1B"/>
    <w:rsid w:val="007658E3"/>
    <w:rsid w:val="007748D3"/>
    <w:rsid w:val="00774C8C"/>
    <w:rsid w:val="0077694A"/>
    <w:rsid w:val="00777470"/>
    <w:rsid w:val="007825F0"/>
    <w:rsid w:val="00792180"/>
    <w:rsid w:val="007951C7"/>
    <w:rsid w:val="007B4DAC"/>
    <w:rsid w:val="007B5C99"/>
    <w:rsid w:val="007B5E26"/>
    <w:rsid w:val="007B6BC5"/>
    <w:rsid w:val="007C1A6F"/>
    <w:rsid w:val="007C5049"/>
    <w:rsid w:val="007C72A1"/>
    <w:rsid w:val="007D1C6B"/>
    <w:rsid w:val="007D2906"/>
    <w:rsid w:val="007F5666"/>
    <w:rsid w:val="007F7E04"/>
    <w:rsid w:val="00806018"/>
    <w:rsid w:val="0081017F"/>
    <w:rsid w:val="008201F2"/>
    <w:rsid w:val="0082136A"/>
    <w:rsid w:val="008256DB"/>
    <w:rsid w:val="00825FFB"/>
    <w:rsid w:val="00841168"/>
    <w:rsid w:val="00846BB4"/>
    <w:rsid w:val="00847457"/>
    <w:rsid w:val="008569C3"/>
    <w:rsid w:val="00860CFC"/>
    <w:rsid w:val="00861EC2"/>
    <w:rsid w:val="00861F40"/>
    <w:rsid w:val="00861F87"/>
    <w:rsid w:val="00862D8F"/>
    <w:rsid w:val="00863797"/>
    <w:rsid w:val="00864E78"/>
    <w:rsid w:val="008661E7"/>
    <w:rsid w:val="0087625F"/>
    <w:rsid w:val="00892293"/>
    <w:rsid w:val="008947B7"/>
    <w:rsid w:val="008A0298"/>
    <w:rsid w:val="008A4325"/>
    <w:rsid w:val="008A48F5"/>
    <w:rsid w:val="008A5A2D"/>
    <w:rsid w:val="008A66D5"/>
    <w:rsid w:val="008D0EF9"/>
    <w:rsid w:val="008D68B9"/>
    <w:rsid w:val="008E1576"/>
    <w:rsid w:val="008E3198"/>
    <w:rsid w:val="008E39E3"/>
    <w:rsid w:val="008F19C0"/>
    <w:rsid w:val="008F41DB"/>
    <w:rsid w:val="008F4368"/>
    <w:rsid w:val="00901BC7"/>
    <w:rsid w:val="009051FE"/>
    <w:rsid w:val="009112FF"/>
    <w:rsid w:val="00913556"/>
    <w:rsid w:val="00914681"/>
    <w:rsid w:val="00920504"/>
    <w:rsid w:val="009217BA"/>
    <w:rsid w:val="0092399F"/>
    <w:rsid w:val="00923DB2"/>
    <w:rsid w:val="00930F83"/>
    <w:rsid w:val="0093170E"/>
    <w:rsid w:val="009412D9"/>
    <w:rsid w:val="0094404F"/>
    <w:rsid w:val="009463FD"/>
    <w:rsid w:val="009528DF"/>
    <w:rsid w:val="00953256"/>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B7A0D"/>
    <w:rsid w:val="009C1306"/>
    <w:rsid w:val="009D222F"/>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7C7"/>
    <w:rsid w:val="00A17961"/>
    <w:rsid w:val="00A25AA2"/>
    <w:rsid w:val="00A2745E"/>
    <w:rsid w:val="00A31154"/>
    <w:rsid w:val="00A3401D"/>
    <w:rsid w:val="00A34392"/>
    <w:rsid w:val="00A409CA"/>
    <w:rsid w:val="00A504C1"/>
    <w:rsid w:val="00A5068B"/>
    <w:rsid w:val="00A567D9"/>
    <w:rsid w:val="00A60463"/>
    <w:rsid w:val="00A71408"/>
    <w:rsid w:val="00A730FB"/>
    <w:rsid w:val="00A80325"/>
    <w:rsid w:val="00A8069A"/>
    <w:rsid w:val="00A84A62"/>
    <w:rsid w:val="00A9237E"/>
    <w:rsid w:val="00A972C2"/>
    <w:rsid w:val="00AA2FBC"/>
    <w:rsid w:val="00AA342D"/>
    <w:rsid w:val="00AB15FA"/>
    <w:rsid w:val="00AB18B5"/>
    <w:rsid w:val="00AB4ED4"/>
    <w:rsid w:val="00AB66B6"/>
    <w:rsid w:val="00AC66A6"/>
    <w:rsid w:val="00AD03F3"/>
    <w:rsid w:val="00AD73D7"/>
    <w:rsid w:val="00AF16BB"/>
    <w:rsid w:val="00AF3320"/>
    <w:rsid w:val="00AF34A1"/>
    <w:rsid w:val="00B00EF7"/>
    <w:rsid w:val="00B0104B"/>
    <w:rsid w:val="00B03FEB"/>
    <w:rsid w:val="00B06B0E"/>
    <w:rsid w:val="00B10589"/>
    <w:rsid w:val="00B142E2"/>
    <w:rsid w:val="00B20AA9"/>
    <w:rsid w:val="00B20E06"/>
    <w:rsid w:val="00B256BF"/>
    <w:rsid w:val="00B36943"/>
    <w:rsid w:val="00B37304"/>
    <w:rsid w:val="00B40714"/>
    <w:rsid w:val="00B407D0"/>
    <w:rsid w:val="00B5259B"/>
    <w:rsid w:val="00B52EFE"/>
    <w:rsid w:val="00B548D7"/>
    <w:rsid w:val="00B5670D"/>
    <w:rsid w:val="00B63408"/>
    <w:rsid w:val="00B676F6"/>
    <w:rsid w:val="00B74564"/>
    <w:rsid w:val="00B7505C"/>
    <w:rsid w:val="00B751E2"/>
    <w:rsid w:val="00B7591C"/>
    <w:rsid w:val="00B75A02"/>
    <w:rsid w:val="00B8634B"/>
    <w:rsid w:val="00B87FCE"/>
    <w:rsid w:val="00B921F7"/>
    <w:rsid w:val="00B925AC"/>
    <w:rsid w:val="00BA02B9"/>
    <w:rsid w:val="00BA2B63"/>
    <w:rsid w:val="00BA3554"/>
    <w:rsid w:val="00BA45DC"/>
    <w:rsid w:val="00BB45F8"/>
    <w:rsid w:val="00BB5C08"/>
    <w:rsid w:val="00BB77BC"/>
    <w:rsid w:val="00BB7D1F"/>
    <w:rsid w:val="00BC12C4"/>
    <w:rsid w:val="00BC182A"/>
    <w:rsid w:val="00BC1AA3"/>
    <w:rsid w:val="00BC744C"/>
    <w:rsid w:val="00BD0808"/>
    <w:rsid w:val="00BD278E"/>
    <w:rsid w:val="00BD6468"/>
    <w:rsid w:val="00BE0BBC"/>
    <w:rsid w:val="00BE317D"/>
    <w:rsid w:val="00BE6ED5"/>
    <w:rsid w:val="00BE73D3"/>
    <w:rsid w:val="00BF644C"/>
    <w:rsid w:val="00C00832"/>
    <w:rsid w:val="00C013F7"/>
    <w:rsid w:val="00C02134"/>
    <w:rsid w:val="00C036C6"/>
    <w:rsid w:val="00C06ED0"/>
    <w:rsid w:val="00C07EF6"/>
    <w:rsid w:val="00C12D11"/>
    <w:rsid w:val="00C15A77"/>
    <w:rsid w:val="00C17FBE"/>
    <w:rsid w:val="00C275F9"/>
    <w:rsid w:val="00C27E28"/>
    <w:rsid w:val="00C31356"/>
    <w:rsid w:val="00C40517"/>
    <w:rsid w:val="00C40B56"/>
    <w:rsid w:val="00C40F11"/>
    <w:rsid w:val="00C4251D"/>
    <w:rsid w:val="00C43B0D"/>
    <w:rsid w:val="00C44E5D"/>
    <w:rsid w:val="00C52B40"/>
    <w:rsid w:val="00C5690C"/>
    <w:rsid w:val="00C6485D"/>
    <w:rsid w:val="00C768E1"/>
    <w:rsid w:val="00C83E32"/>
    <w:rsid w:val="00C8751C"/>
    <w:rsid w:val="00C910DC"/>
    <w:rsid w:val="00C923D5"/>
    <w:rsid w:val="00C94C13"/>
    <w:rsid w:val="00C9520A"/>
    <w:rsid w:val="00C95E87"/>
    <w:rsid w:val="00C9716E"/>
    <w:rsid w:val="00CA035A"/>
    <w:rsid w:val="00CA3E93"/>
    <w:rsid w:val="00CA5B53"/>
    <w:rsid w:val="00CB19D9"/>
    <w:rsid w:val="00CB3DD7"/>
    <w:rsid w:val="00CB67B4"/>
    <w:rsid w:val="00CB78F5"/>
    <w:rsid w:val="00CB7AB8"/>
    <w:rsid w:val="00CC26D4"/>
    <w:rsid w:val="00CC33C9"/>
    <w:rsid w:val="00CC7B44"/>
    <w:rsid w:val="00CD21E8"/>
    <w:rsid w:val="00CD4C57"/>
    <w:rsid w:val="00CE1B30"/>
    <w:rsid w:val="00CE3F31"/>
    <w:rsid w:val="00CE5897"/>
    <w:rsid w:val="00CE736B"/>
    <w:rsid w:val="00CF0D0E"/>
    <w:rsid w:val="00CF2E79"/>
    <w:rsid w:val="00CF3860"/>
    <w:rsid w:val="00CF3C21"/>
    <w:rsid w:val="00D02645"/>
    <w:rsid w:val="00D0452C"/>
    <w:rsid w:val="00D103B1"/>
    <w:rsid w:val="00D10A8C"/>
    <w:rsid w:val="00D11957"/>
    <w:rsid w:val="00D146E6"/>
    <w:rsid w:val="00D27523"/>
    <w:rsid w:val="00D3004F"/>
    <w:rsid w:val="00D301E4"/>
    <w:rsid w:val="00D309AB"/>
    <w:rsid w:val="00D31673"/>
    <w:rsid w:val="00D33B5B"/>
    <w:rsid w:val="00D34581"/>
    <w:rsid w:val="00D3543A"/>
    <w:rsid w:val="00D42A4E"/>
    <w:rsid w:val="00D4639E"/>
    <w:rsid w:val="00D5107D"/>
    <w:rsid w:val="00D61612"/>
    <w:rsid w:val="00D63445"/>
    <w:rsid w:val="00D701C1"/>
    <w:rsid w:val="00D716A8"/>
    <w:rsid w:val="00D74E4F"/>
    <w:rsid w:val="00D80B59"/>
    <w:rsid w:val="00D83AA3"/>
    <w:rsid w:val="00D85601"/>
    <w:rsid w:val="00D91FA6"/>
    <w:rsid w:val="00D91FFC"/>
    <w:rsid w:val="00D94AC7"/>
    <w:rsid w:val="00D9744D"/>
    <w:rsid w:val="00DB240D"/>
    <w:rsid w:val="00DB59AE"/>
    <w:rsid w:val="00DC03CC"/>
    <w:rsid w:val="00DC219A"/>
    <w:rsid w:val="00DC5B58"/>
    <w:rsid w:val="00DC7070"/>
    <w:rsid w:val="00DD1247"/>
    <w:rsid w:val="00DD3778"/>
    <w:rsid w:val="00DD69CB"/>
    <w:rsid w:val="00DE37B3"/>
    <w:rsid w:val="00DF15D2"/>
    <w:rsid w:val="00DF4E39"/>
    <w:rsid w:val="00DF710E"/>
    <w:rsid w:val="00E0315D"/>
    <w:rsid w:val="00E06D12"/>
    <w:rsid w:val="00E07B86"/>
    <w:rsid w:val="00E07E32"/>
    <w:rsid w:val="00E16B04"/>
    <w:rsid w:val="00E174D5"/>
    <w:rsid w:val="00E2718B"/>
    <w:rsid w:val="00E31AE0"/>
    <w:rsid w:val="00E336A1"/>
    <w:rsid w:val="00E348B0"/>
    <w:rsid w:val="00E3511C"/>
    <w:rsid w:val="00E529B6"/>
    <w:rsid w:val="00E641FC"/>
    <w:rsid w:val="00E741AE"/>
    <w:rsid w:val="00E75432"/>
    <w:rsid w:val="00E81B9F"/>
    <w:rsid w:val="00E92ABE"/>
    <w:rsid w:val="00E93254"/>
    <w:rsid w:val="00E939BF"/>
    <w:rsid w:val="00E940EC"/>
    <w:rsid w:val="00E97FBC"/>
    <w:rsid w:val="00EA07BB"/>
    <w:rsid w:val="00EA1C80"/>
    <w:rsid w:val="00EA276D"/>
    <w:rsid w:val="00EA616E"/>
    <w:rsid w:val="00EB06F8"/>
    <w:rsid w:val="00EB149A"/>
    <w:rsid w:val="00EC3805"/>
    <w:rsid w:val="00EC5254"/>
    <w:rsid w:val="00ED07D9"/>
    <w:rsid w:val="00ED4C59"/>
    <w:rsid w:val="00ED52DF"/>
    <w:rsid w:val="00EE4D0F"/>
    <w:rsid w:val="00EE618D"/>
    <w:rsid w:val="00EF057E"/>
    <w:rsid w:val="00EF1711"/>
    <w:rsid w:val="00EF1870"/>
    <w:rsid w:val="00EF3C2C"/>
    <w:rsid w:val="00EF6B08"/>
    <w:rsid w:val="00F01C00"/>
    <w:rsid w:val="00F1058F"/>
    <w:rsid w:val="00F20FFF"/>
    <w:rsid w:val="00F2268C"/>
    <w:rsid w:val="00F266FE"/>
    <w:rsid w:val="00F32FA3"/>
    <w:rsid w:val="00F34F92"/>
    <w:rsid w:val="00F43155"/>
    <w:rsid w:val="00F43B71"/>
    <w:rsid w:val="00F43D68"/>
    <w:rsid w:val="00F52745"/>
    <w:rsid w:val="00F54EAF"/>
    <w:rsid w:val="00F55B3C"/>
    <w:rsid w:val="00F70AE7"/>
    <w:rsid w:val="00F72BA4"/>
    <w:rsid w:val="00F73817"/>
    <w:rsid w:val="00F7440C"/>
    <w:rsid w:val="00F818BA"/>
    <w:rsid w:val="00F82483"/>
    <w:rsid w:val="00F83839"/>
    <w:rsid w:val="00F86863"/>
    <w:rsid w:val="00F91340"/>
    <w:rsid w:val="00F956D8"/>
    <w:rsid w:val="00F97809"/>
    <w:rsid w:val="00FA0CD9"/>
    <w:rsid w:val="00FA2CB7"/>
    <w:rsid w:val="00FB1D9D"/>
    <w:rsid w:val="00FB42A4"/>
    <w:rsid w:val="00FB4AC1"/>
    <w:rsid w:val="00FB6E32"/>
    <w:rsid w:val="00FC4487"/>
    <w:rsid w:val="00FE0F26"/>
    <w:rsid w:val="00FE111E"/>
    <w:rsid w:val="00FE4ECE"/>
    <w:rsid w:val="00FF5C39"/>
    <w:rsid w:val="2F50CD14"/>
    <w:rsid w:val="7A21D79B"/>
    <w:rsid w:val="7E423C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F73E77-A60F-4CE4-B794-DC7CC4A52D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d4419c-0be6-49ec-9312-a60fa7bb70b1"/>
    <ds:schemaRef ds:uri="a59b828f-78de-42fb-9420-f13f61025e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 ds:uri="d3d4419c-0be6-49ec-9312-a60fa7bb70b1"/>
  </ds:schemaRefs>
</ds:datastoreItem>
</file>

<file path=customXml/itemProps3.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4.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S.Halliwell</dc:creator>
  <keywords/>
  <dc:description/>
  <lastModifiedBy>C.Elphick</lastModifiedBy>
  <revision>24</revision>
  <dcterms:created xsi:type="dcterms:W3CDTF">2022-07-14T10:52:00.0000000Z</dcterms:created>
  <dcterms:modified xsi:type="dcterms:W3CDTF">2025-06-27T13:24:40.9046966Z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